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C21C6" w14:textId="77777777" w:rsidR="00B275A1" w:rsidRDefault="00B275A1" w:rsidP="00B275A1">
      <w:pPr>
        <w:sectPr w:rsidR="00B275A1" w:rsidSect="00B275A1">
          <w:headerReference w:type="even" r:id="rId8"/>
          <w:headerReference w:type="default" r:id="rId9"/>
          <w:footerReference w:type="even" r:id="rId10"/>
          <w:footerReference w:type="default" r:id="rId11"/>
          <w:headerReference w:type="first" r:id="rId12"/>
          <w:footerReference w:type="first" r:id="rId13"/>
          <w:pgSz w:w="11900" w:h="16840"/>
          <w:pgMar w:top="1440" w:right="1021" w:bottom="1440" w:left="1021" w:header="1531" w:footer="1020" w:gutter="0"/>
          <w:cols w:num="2" w:space="708"/>
          <w:titlePg/>
          <w:docGrid w:linePitch="360"/>
        </w:sectPr>
      </w:pPr>
    </w:p>
    <w:p w14:paraId="2458A05E" w14:textId="77777777" w:rsidR="00041849" w:rsidRDefault="001322D1" w:rsidP="001322D1">
      <w:pPr>
        <w:keepNext/>
        <w:keepLines/>
        <w:spacing w:before="360" w:line="340" w:lineRule="exact"/>
        <w:outlineLvl w:val="0"/>
        <w:rPr>
          <w:rFonts w:eastAsiaTheme="majorEastAsia" w:cs="Arial"/>
          <w:b/>
          <w:color w:val="AF4C64"/>
          <w:sz w:val="56"/>
          <w:szCs w:val="56"/>
        </w:rPr>
      </w:pPr>
      <w:r w:rsidRPr="00041849">
        <w:rPr>
          <w:rFonts w:eastAsiaTheme="majorEastAsia" w:cs="Arial"/>
          <w:b/>
          <w:color w:val="AF4C64"/>
          <w:sz w:val="56"/>
          <w:szCs w:val="56"/>
        </w:rPr>
        <w:t xml:space="preserve">Evidence and </w:t>
      </w:r>
    </w:p>
    <w:p w14:paraId="770CFE27" w14:textId="77777777" w:rsidR="001322D1" w:rsidRPr="00041849" w:rsidRDefault="001322D1" w:rsidP="001322D1">
      <w:pPr>
        <w:keepNext/>
        <w:keepLines/>
        <w:spacing w:before="360" w:line="340" w:lineRule="exact"/>
        <w:outlineLvl w:val="0"/>
        <w:rPr>
          <w:rFonts w:eastAsiaTheme="majorEastAsia" w:cs="Arial"/>
          <w:b/>
          <w:color w:val="AF4C64"/>
          <w:sz w:val="56"/>
          <w:szCs w:val="56"/>
        </w:rPr>
      </w:pPr>
      <w:r w:rsidRPr="00041849">
        <w:rPr>
          <w:rFonts w:eastAsiaTheme="majorEastAsia" w:cs="Arial"/>
          <w:b/>
          <w:color w:val="AF4C64"/>
          <w:sz w:val="56"/>
          <w:szCs w:val="56"/>
        </w:rPr>
        <w:t>Jury Directions</w:t>
      </w:r>
    </w:p>
    <w:p w14:paraId="487F0D5D" w14:textId="778533E9" w:rsidR="001322D1" w:rsidRPr="00041849" w:rsidRDefault="00282C3B" w:rsidP="001322D1">
      <w:pPr>
        <w:keepNext/>
        <w:keepLines/>
        <w:spacing w:before="360" w:line="340" w:lineRule="exact"/>
        <w:outlineLvl w:val="0"/>
        <w:rPr>
          <w:rFonts w:eastAsiaTheme="majorEastAsia" w:cs="Arial"/>
          <w:b/>
          <w:color w:val="AF4C64"/>
          <w:sz w:val="36"/>
          <w:szCs w:val="36"/>
        </w:rPr>
      </w:pPr>
      <w:r>
        <w:rPr>
          <w:rFonts w:eastAsiaTheme="majorEastAsia" w:cs="Arial"/>
          <w:b/>
          <w:color w:val="AF4C64"/>
          <w:sz w:val="36"/>
          <w:szCs w:val="36"/>
        </w:rPr>
        <w:t>E</w:t>
      </w:r>
      <w:r w:rsidR="001322D1" w:rsidRPr="00041849">
        <w:rPr>
          <w:rFonts w:eastAsiaTheme="majorEastAsia" w:cs="Arial"/>
          <w:b/>
          <w:color w:val="AF4C64"/>
          <w:sz w:val="36"/>
          <w:szCs w:val="36"/>
        </w:rPr>
        <w:t>vidence</w:t>
      </w:r>
    </w:p>
    <w:p w14:paraId="4D30718A" w14:textId="77777777" w:rsidR="00B275A1" w:rsidRPr="00B275A1" w:rsidRDefault="00300153" w:rsidP="00B275A1">
      <w:pPr>
        <w:keepLines/>
        <w:spacing w:before="120" w:after="0" w:line="240" w:lineRule="auto"/>
        <w:jc w:val="both"/>
        <w:rPr>
          <w:rFonts w:cs="Arial"/>
          <w:szCs w:val="21"/>
        </w:rPr>
      </w:pPr>
      <w:r>
        <w:rPr>
          <w:rFonts w:cs="Arial"/>
          <w:szCs w:val="21"/>
        </w:rPr>
        <w:t xml:space="preserve">The Consultation Draft of the </w:t>
      </w:r>
      <w:r w:rsidRPr="00C95257">
        <w:rPr>
          <w:rFonts w:cs="Arial"/>
          <w:szCs w:val="21"/>
        </w:rPr>
        <w:t xml:space="preserve">Criminal </w:t>
      </w:r>
      <w:r w:rsidR="00715C4A">
        <w:rPr>
          <w:rFonts w:cs="Arial"/>
          <w:szCs w:val="21"/>
        </w:rPr>
        <w:t>Code (Child Sexual Offences Reform) and Other Legislation Amendment Bill 2019</w:t>
      </w:r>
      <w:r w:rsidRPr="00C95257">
        <w:rPr>
          <w:rFonts w:cs="Arial"/>
          <w:szCs w:val="21"/>
        </w:rPr>
        <w:t xml:space="preserve"> (the</w:t>
      </w:r>
      <w:r>
        <w:rPr>
          <w:rFonts w:cs="Arial"/>
          <w:szCs w:val="21"/>
        </w:rPr>
        <w:t xml:space="preserve"> Consultation Draft </w:t>
      </w:r>
      <w:r w:rsidRPr="00C95257">
        <w:rPr>
          <w:rFonts w:cs="Arial"/>
          <w:szCs w:val="21"/>
        </w:rPr>
        <w:t>Bill)</w:t>
      </w:r>
      <w:r>
        <w:rPr>
          <w:rFonts w:cs="Arial"/>
          <w:szCs w:val="21"/>
        </w:rPr>
        <w:t xml:space="preserve"> contains amendments to </w:t>
      </w:r>
      <w:r w:rsidR="00B275A1" w:rsidRPr="00B275A1">
        <w:rPr>
          <w:rFonts w:cs="Arial"/>
          <w:szCs w:val="21"/>
        </w:rPr>
        <w:t xml:space="preserve">change the test for admissibility of propensity and </w:t>
      </w:r>
      <w:r w:rsidR="00715C4A">
        <w:rPr>
          <w:rFonts w:cs="Arial"/>
          <w:szCs w:val="21"/>
        </w:rPr>
        <w:t xml:space="preserve">relationship </w:t>
      </w:r>
      <w:r w:rsidR="00B275A1" w:rsidRPr="00B275A1">
        <w:rPr>
          <w:rFonts w:cs="Arial"/>
          <w:szCs w:val="21"/>
        </w:rPr>
        <w:t xml:space="preserve">evidence under the </w:t>
      </w:r>
      <w:r w:rsidR="00B275A1" w:rsidRPr="00B275A1">
        <w:rPr>
          <w:rFonts w:cs="Arial"/>
          <w:i/>
          <w:szCs w:val="21"/>
        </w:rPr>
        <w:t>Evidence Act</w:t>
      </w:r>
      <w:r>
        <w:rPr>
          <w:rFonts w:cs="Arial"/>
          <w:i/>
          <w:szCs w:val="21"/>
        </w:rPr>
        <w:t xml:space="preserve"> 1977</w:t>
      </w:r>
      <w:r w:rsidR="00B275A1" w:rsidRPr="00B275A1">
        <w:rPr>
          <w:rFonts w:cs="Arial"/>
          <w:i/>
          <w:szCs w:val="21"/>
        </w:rPr>
        <w:t xml:space="preserve"> </w:t>
      </w:r>
      <w:r w:rsidR="00CF7DA4">
        <w:rPr>
          <w:rFonts w:cs="Arial"/>
          <w:szCs w:val="21"/>
        </w:rPr>
        <w:t>(Evidence Act)</w:t>
      </w:r>
      <w:r w:rsidR="001322D1">
        <w:rPr>
          <w:rFonts w:cs="Arial"/>
          <w:szCs w:val="21"/>
        </w:rPr>
        <w:t>. These changes are proposed</w:t>
      </w:r>
      <w:r w:rsidR="00CF7DA4">
        <w:rPr>
          <w:rFonts w:cs="Arial"/>
          <w:szCs w:val="21"/>
        </w:rPr>
        <w:t xml:space="preserve"> </w:t>
      </w:r>
      <w:r>
        <w:rPr>
          <w:rFonts w:cs="Arial"/>
          <w:szCs w:val="21"/>
        </w:rPr>
        <w:t xml:space="preserve">to implement recommendations made by the Royal Commission into Institutional Responses to Child Sexual Abuse (Royal Commission) in its </w:t>
      </w:r>
      <w:r w:rsidRPr="00842DD4">
        <w:rPr>
          <w:rFonts w:cs="Arial"/>
          <w:szCs w:val="21"/>
        </w:rPr>
        <w:t>Criminal Justice Report</w:t>
      </w:r>
      <w:r>
        <w:rPr>
          <w:rFonts w:cs="Arial"/>
          <w:szCs w:val="21"/>
        </w:rPr>
        <w:t>.</w:t>
      </w:r>
    </w:p>
    <w:p w14:paraId="5680A348" w14:textId="77777777" w:rsidR="00B275A1" w:rsidRPr="00041849" w:rsidRDefault="00B275A1" w:rsidP="00041849">
      <w:pPr>
        <w:pStyle w:val="Heading2"/>
        <w:rPr>
          <w:rFonts w:cs="Arial"/>
          <w:b/>
          <w:sz w:val="32"/>
          <w:szCs w:val="32"/>
        </w:rPr>
      </w:pPr>
      <w:r w:rsidRPr="00041849">
        <w:rPr>
          <w:rFonts w:cs="Arial"/>
          <w:b/>
          <w:sz w:val="32"/>
          <w:szCs w:val="32"/>
        </w:rPr>
        <w:t>What did the Royal Commission recommend?</w:t>
      </w:r>
    </w:p>
    <w:p w14:paraId="2004ED6E" w14:textId="77777777" w:rsidR="00B275A1" w:rsidRPr="00B275A1" w:rsidRDefault="00B275A1" w:rsidP="00B275A1">
      <w:pPr>
        <w:keepLines/>
        <w:spacing w:before="160"/>
        <w:contextualSpacing/>
        <w:jc w:val="both"/>
        <w:rPr>
          <w:rFonts w:cs="Arial"/>
          <w:color w:val="000000"/>
          <w:szCs w:val="21"/>
        </w:rPr>
      </w:pPr>
      <w:r w:rsidRPr="00B275A1">
        <w:rPr>
          <w:rFonts w:cs="Arial"/>
          <w:szCs w:val="21"/>
        </w:rPr>
        <w:t>The Royal Commission made a number of recommendations aimed at facilitating greater admissibility of tendency and coincidence evidence and joint trials in criminal proceedings for sexual offences against children</w:t>
      </w:r>
      <w:r w:rsidRPr="00B275A1">
        <w:rPr>
          <w:rStyle w:val="FootnoteReference"/>
          <w:rFonts w:cs="Arial"/>
          <w:szCs w:val="21"/>
        </w:rPr>
        <w:footnoteReference w:id="1"/>
      </w:r>
      <w:r w:rsidRPr="00B275A1">
        <w:rPr>
          <w:rFonts w:cs="Arial"/>
          <w:szCs w:val="21"/>
        </w:rPr>
        <w:t xml:space="preserve">. </w:t>
      </w:r>
    </w:p>
    <w:p w14:paraId="78155A7E" w14:textId="77777777" w:rsidR="00B275A1" w:rsidRPr="00B275A1" w:rsidRDefault="00B275A1" w:rsidP="00B275A1">
      <w:pPr>
        <w:keepLines/>
        <w:spacing w:before="160"/>
        <w:contextualSpacing/>
        <w:jc w:val="both"/>
        <w:rPr>
          <w:rFonts w:cs="Arial"/>
          <w:color w:val="000000"/>
          <w:szCs w:val="21"/>
        </w:rPr>
      </w:pPr>
    </w:p>
    <w:p w14:paraId="663D8331" w14:textId="77777777" w:rsidR="00B275A1" w:rsidRPr="00B275A1" w:rsidRDefault="00B275A1" w:rsidP="00B275A1">
      <w:pPr>
        <w:keepLines/>
        <w:spacing w:before="160"/>
        <w:contextualSpacing/>
        <w:jc w:val="both"/>
        <w:rPr>
          <w:rFonts w:cs="Arial"/>
          <w:szCs w:val="21"/>
        </w:rPr>
      </w:pPr>
      <w:r w:rsidRPr="00B275A1">
        <w:rPr>
          <w:rFonts w:cs="Arial"/>
          <w:szCs w:val="21"/>
        </w:rPr>
        <w:t xml:space="preserve">Tendency and coincidence evidence are concepts under the Uniform Evidence Law (UEL). </w:t>
      </w:r>
      <w:r w:rsidR="00300153">
        <w:rPr>
          <w:rFonts w:cs="Arial"/>
          <w:szCs w:val="21"/>
        </w:rPr>
        <w:t xml:space="preserve">Queensland does not operate under the </w:t>
      </w:r>
      <w:r w:rsidRPr="00B275A1">
        <w:rPr>
          <w:rFonts w:cs="Arial"/>
          <w:szCs w:val="21"/>
        </w:rPr>
        <w:t xml:space="preserve">UEL. In Queensland, the relevant concepts are propensity evidence and similar fact evidence which are based on the common law. </w:t>
      </w:r>
    </w:p>
    <w:p w14:paraId="60DECC89" w14:textId="77777777" w:rsidR="00B275A1" w:rsidRPr="00B275A1" w:rsidRDefault="00B275A1" w:rsidP="00B275A1">
      <w:pPr>
        <w:keepLines/>
        <w:spacing w:before="160"/>
        <w:contextualSpacing/>
        <w:jc w:val="both"/>
        <w:rPr>
          <w:rFonts w:cs="Arial"/>
          <w:color w:val="000000"/>
          <w:szCs w:val="21"/>
        </w:rPr>
      </w:pPr>
    </w:p>
    <w:p w14:paraId="5E598686" w14:textId="77777777" w:rsidR="009E55F8" w:rsidRDefault="00B275A1" w:rsidP="00B275A1">
      <w:pPr>
        <w:keepLines/>
        <w:tabs>
          <w:tab w:val="left" w:pos="426"/>
        </w:tabs>
        <w:spacing w:before="120"/>
        <w:jc w:val="both"/>
        <w:rPr>
          <w:rFonts w:cs="Arial"/>
          <w:szCs w:val="21"/>
        </w:rPr>
      </w:pPr>
      <w:r w:rsidRPr="00B275A1">
        <w:rPr>
          <w:rFonts w:cs="Arial"/>
          <w:szCs w:val="21"/>
        </w:rPr>
        <w:t>Propensity evidence in criminal cases points to the character, reputation or behavior of a person to show that a person has a tendency to act or think in a particular way. Similar fact evidence is evidence of similar conduct used to show that a person acted or thought a particular way, because the similarities between multiple events make it improbable those events occurred coincidentally.</w:t>
      </w:r>
      <w:r w:rsidR="00DE4141">
        <w:rPr>
          <w:rFonts w:cs="Arial"/>
          <w:szCs w:val="21"/>
        </w:rPr>
        <w:t xml:space="preserve"> </w:t>
      </w:r>
    </w:p>
    <w:p w14:paraId="2B8AABF5" w14:textId="77777777" w:rsidR="00B275A1" w:rsidRPr="00B275A1" w:rsidRDefault="00DE4141" w:rsidP="00B275A1">
      <w:pPr>
        <w:keepLines/>
        <w:tabs>
          <w:tab w:val="left" w:pos="426"/>
        </w:tabs>
        <w:spacing w:before="120"/>
        <w:jc w:val="both"/>
        <w:rPr>
          <w:rFonts w:eastAsia="Times New Roman" w:cs="Arial"/>
          <w:color w:val="000000"/>
          <w:szCs w:val="21"/>
          <w:lang w:eastAsia="en-AU"/>
        </w:rPr>
      </w:pPr>
      <w:r>
        <w:rPr>
          <w:rFonts w:cs="Arial"/>
          <w:szCs w:val="21"/>
        </w:rPr>
        <w:t>Relationship evidence covers evidence of other misconduct by the defendant towards the victim</w:t>
      </w:r>
      <w:r w:rsidR="009E55F8">
        <w:rPr>
          <w:rFonts w:cs="Arial"/>
          <w:szCs w:val="21"/>
        </w:rPr>
        <w:t xml:space="preserve"> and can be used to prove a sexual interest or to provide answers to questions about the background to an incident.</w:t>
      </w:r>
      <w:r w:rsidR="00B275A1" w:rsidRPr="00B275A1">
        <w:rPr>
          <w:rFonts w:cs="Arial"/>
          <w:szCs w:val="21"/>
        </w:rPr>
        <w:t xml:space="preserve"> </w:t>
      </w:r>
    </w:p>
    <w:p w14:paraId="01F3915A" w14:textId="77777777" w:rsidR="00B275A1" w:rsidRPr="00041849" w:rsidRDefault="00B275A1" w:rsidP="00041849">
      <w:pPr>
        <w:pStyle w:val="Heading2"/>
        <w:rPr>
          <w:rFonts w:cs="Arial"/>
          <w:b/>
          <w:sz w:val="32"/>
          <w:szCs w:val="32"/>
        </w:rPr>
      </w:pPr>
      <w:r w:rsidRPr="00041849">
        <w:rPr>
          <w:rFonts w:cs="Arial"/>
          <w:b/>
          <w:sz w:val="32"/>
          <w:szCs w:val="32"/>
        </w:rPr>
        <w:t>What is the position in other jurisdictions?</w:t>
      </w:r>
    </w:p>
    <w:p w14:paraId="781BD7C6" w14:textId="46B496B0" w:rsidR="00B275A1" w:rsidRPr="00B275A1" w:rsidRDefault="00B275A1" w:rsidP="00B275A1">
      <w:pPr>
        <w:keepLines/>
        <w:spacing w:before="160"/>
        <w:jc w:val="both"/>
        <w:rPr>
          <w:rFonts w:cs="Arial"/>
          <w:color w:val="000000"/>
        </w:rPr>
      </w:pPr>
      <w:r w:rsidRPr="00B275A1">
        <w:rPr>
          <w:rFonts w:cs="Arial"/>
          <w:color w:val="000000"/>
        </w:rPr>
        <w:t xml:space="preserve">A national </w:t>
      </w:r>
      <w:r w:rsidR="008F38BF">
        <w:rPr>
          <w:rFonts w:cs="Arial"/>
          <w:color w:val="000000"/>
        </w:rPr>
        <w:t xml:space="preserve">Council of Attorneys-General (CAG) </w:t>
      </w:r>
      <w:r w:rsidRPr="00B275A1">
        <w:rPr>
          <w:rFonts w:cs="Arial"/>
          <w:color w:val="000000"/>
        </w:rPr>
        <w:t>working group, led by N</w:t>
      </w:r>
      <w:r w:rsidR="00300153">
        <w:rPr>
          <w:rFonts w:cs="Arial"/>
          <w:color w:val="000000"/>
        </w:rPr>
        <w:t>ew South Wales</w:t>
      </w:r>
      <w:r w:rsidRPr="00B275A1">
        <w:rPr>
          <w:rFonts w:cs="Arial"/>
          <w:color w:val="000000"/>
        </w:rPr>
        <w:t xml:space="preserve">, is considering the Royal Commission’s recommendations in relation to tendency and coincidence evidence. </w:t>
      </w:r>
      <w:r w:rsidR="001C396A">
        <w:rPr>
          <w:rFonts w:cs="Arial"/>
          <w:color w:val="000000"/>
        </w:rPr>
        <w:t>On</w:t>
      </w:r>
      <w:r w:rsidR="005A1A57">
        <w:rPr>
          <w:rFonts w:cs="Arial"/>
          <w:color w:val="000000"/>
        </w:rPr>
        <w:t xml:space="preserve"> 28</w:t>
      </w:r>
      <w:r w:rsidR="001C396A">
        <w:rPr>
          <w:rFonts w:cs="Arial"/>
          <w:color w:val="000000"/>
        </w:rPr>
        <w:t> </w:t>
      </w:r>
      <w:r w:rsidR="005A1A57">
        <w:rPr>
          <w:rFonts w:cs="Arial"/>
          <w:color w:val="000000"/>
        </w:rPr>
        <w:t>June 2019</w:t>
      </w:r>
      <w:r w:rsidR="001C396A">
        <w:rPr>
          <w:rFonts w:cs="Arial"/>
          <w:color w:val="000000"/>
        </w:rPr>
        <w:t>,</w:t>
      </w:r>
      <w:r w:rsidR="005A1A57">
        <w:rPr>
          <w:rFonts w:cs="Arial"/>
          <w:color w:val="000000"/>
        </w:rPr>
        <w:t xml:space="preserve"> CAG members representing </w:t>
      </w:r>
      <w:r w:rsidR="00D95B9E">
        <w:rPr>
          <w:rFonts w:cs="Arial"/>
          <w:color w:val="000000"/>
        </w:rPr>
        <w:t xml:space="preserve">UEL jurisdictions </w:t>
      </w:r>
      <w:r w:rsidR="005A1A57">
        <w:rPr>
          <w:rFonts w:cs="Arial"/>
          <w:color w:val="000000"/>
        </w:rPr>
        <w:t xml:space="preserve">agreed to </w:t>
      </w:r>
      <w:r w:rsidR="00D95B9E">
        <w:rPr>
          <w:rFonts w:cs="Arial"/>
          <w:color w:val="000000"/>
        </w:rPr>
        <w:t xml:space="preserve">the working group </w:t>
      </w:r>
      <w:r w:rsidR="005A1A57">
        <w:rPr>
          <w:rFonts w:cs="Arial"/>
          <w:color w:val="000000"/>
        </w:rPr>
        <w:t>drafting a model bill to implement reform proposals to the admissibility of tendency and coincidence evidence and to consult with key stakeholders.</w:t>
      </w:r>
    </w:p>
    <w:p w14:paraId="5F31BBF8" w14:textId="77777777" w:rsidR="00B275A1" w:rsidRPr="001C396A" w:rsidRDefault="00B275A1" w:rsidP="00AC455C">
      <w:pPr>
        <w:keepLines/>
        <w:spacing w:before="160"/>
        <w:rPr>
          <w:rFonts w:eastAsiaTheme="majorEastAsia" w:cs="Arial"/>
          <w:b/>
          <w:color w:val="AF4C64"/>
          <w:sz w:val="32"/>
          <w:szCs w:val="32"/>
        </w:rPr>
      </w:pPr>
      <w:r w:rsidRPr="001C396A">
        <w:rPr>
          <w:rFonts w:eastAsiaTheme="majorEastAsia" w:cs="Arial"/>
          <w:b/>
          <w:color w:val="AF4C64"/>
          <w:sz w:val="32"/>
          <w:szCs w:val="32"/>
        </w:rPr>
        <w:t>What is Queensland proposing?</w:t>
      </w:r>
    </w:p>
    <w:p w14:paraId="1204FF60" w14:textId="77777777" w:rsidR="003233D4" w:rsidRDefault="00B275A1" w:rsidP="00B275A1">
      <w:pPr>
        <w:keepLines/>
        <w:tabs>
          <w:tab w:val="left" w:pos="567"/>
        </w:tabs>
        <w:spacing w:before="120"/>
        <w:jc w:val="both"/>
        <w:rPr>
          <w:rFonts w:cs="Arial"/>
        </w:rPr>
      </w:pPr>
      <w:r w:rsidRPr="00B275A1">
        <w:rPr>
          <w:rFonts w:cs="Arial"/>
        </w:rPr>
        <w:t xml:space="preserve">The Royal Commission’s recommendations provide an opportunity to reform this complex area of law </w:t>
      </w:r>
      <w:r w:rsidR="00E30AD8">
        <w:rPr>
          <w:rFonts w:cs="Arial"/>
        </w:rPr>
        <w:t xml:space="preserve">in Queensland </w:t>
      </w:r>
      <w:r w:rsidRPr="00B275A1">
        <w:rPr>
          <w:rFonts w:cs="Arial"/>
        </w:rPr>
        <w:t>based on the</w:t>
      </w:r>
      <w:r w:rsidR="00300153">
        <w:rPr>
          <w:rFonts w:cs="Arial"/>
        </w:rPr>
        <w:t xml:space="preserve"> approach in</w:t>
      </w:r>
      <w:r w:rsidRPr="00B275A1">
        <w:rPr>
          <w:rFonts w:cs="Arial"/>
        </w:rPr>
        <w:t xml:space="preserve"> Western Australia</w:t>
      </w:r>
      <w:r w:rsidR="00715C4A">
        <w:rPr>
          <w:rFonts w:cs="Arial"/>
        </w:rPr>
        <w:t>, which is currently also not a UEL jurisdiction</w:t>
      </w:r>
      <w:r w:rsidRPr="00B275A1">
        <w:rPr>
          <w:rFonts w:cs="Arial"/>
        </w:rPr>
        <w:t xml:space="preserve">.  </w:t>
      </w:r>
    </w:p>
    <w:p w14:paraId="64C5B707" w14:textId="77777777" w:rsidR="00B275A1" w:rsidRPr="00B275A1" w:rsidRDefault="00B275A1" w:rsidP="00B275A1">
      <w:pPr>
        <w:keepLines/>
        <w:tabs>
          <w:tab w:val="left" w:pos="567"/>
        </w:tabs>
        <w:spacing w:before="120"/>
        <w:jc w:val="both"/>
        <w:rPr>
          <w:rFonts w:cs="Arial"/>
        </w:rPr>
      </w:pPr>
      <w:r w:rsidRPr="00B275A1">
        <w:rPr>
          <w:rFonts w:cs="Arial"/>
        </w:rPr>
        <w:t xml:space="preserve">Western Australia’s </w:t>
      </w:r>
      <w:r w:rsidRPr="00B275A1">
        <w:rPr>
          <w:rFonts w:cs="Arial"/>
          <w:i/>
        </w:rPr>
        <w:t>Evidence Act 1906</w:t>
      </w:r>
      <w:r w:rsidRPr="00B275A1">
        <w:rPr>
          <w:rFonts w:cs="Arial"/>
        </w:rPr>
        <w:t xml:space="preserve"> provides that propensity </w:t>
      </w:r>
      <w:r w:rsidR="00AD28DE">
        <w:rPr>
          <w:rFonts w:cs="Arial"/>
        </w:rPr>
        <w:t xml:space="preserve">and relationship </w:t>
      </w:r>
      <w:r w:rsidRPr="00B275A1">
        <w:rPr>
          <w:rFonts w:cs="Arial"/>
        </w:rPr>
        <w:t xml:space="preserve">evidence is admissible </w:t>
      </w:r>
      <w:r w:rsidR="00276F34">
        <w:rPr>
          <w:rFonts w:cs="Arial"/>
        </w:rPr>
        <w:t xml:space="preserve">in proceedings for an offence </w:t>
      </w:r>
      <w:r w:rsidRPr="00B275A1">
        <w:rPr>
          <w:rFonts w:cs="Arial"/>
        </w:rPr>
        <w:t xml:space="preserve">if the court considers that it would have significant probative value and “that the probative value of the evidence compared with the degree of risk of an unfair trial, is such that fair-minded people would think that the public interest in adducing all relevant evidence of guilt must have priority over the risk of an unfair trial”. </w:t>
      </w:r>
    </w:p>
    <w:p w14:paraId="100B6761" w14:textId="77777777" w:rsidR="00B275A1" w:rsidRPr="00300153" w:rsidRDefault="00B275A1" w:rsidP="00B275A1">
      <w:pPr>
        <w:pStyle w:val="Heading2"/>
        <w:rPr>
          <w:rFonts w:cs="Arial"/>
          <w:b/>
          <w:sz w:val="32"/>
          <w:szCs w:val="32"/>
        </w:rPr>
      </w:pPr>
      <w:r w:rsidRPr="00300153">
        <w:rPr>
          <w:rFonts w:cs="Arial"/>
          <w:b/>
          <w:sz w:val="32"/>
          <w:szCs w:val="32"/>
        </w:rPr>
        <w:t>Supplementary Proposals</w:t>
      </w:r>
    </w:p>
    <w:p w14:paraId="2089B3EE" w14:textId="62ACBD8B" w:rsidR="00B275A1" w:rsidRPr="00B275A1" w:rsidRDefault="00300153" w:rsidP="00B275A1">
      <w:pPr>
        <w:tabs>
          <w:tab w:val="left" w:pos="426"/>
        </w:tabs>
        <w:jc w:val="both"/>
        <w:outlineLvl w:val="0"/>
        <w:rPr>
          <w:rFonts w:cs="Arial"/>
          <w:szCs w:val="21"/>
        </w:rPr>
      </w:pPr>
      <w:r>
        <w:rPr>
          <w:rFonts w:cs="Arial"/>
          <w:szCs w:val="21"/>
        </w:rPr>
        <w:t xml:space="preserve">The following </w:t>
      </w:r>
      <w:r w:rsidR="00B275A1" w:rsidRPr="00B275A1">
        <w:rPr>
          <w:rFonts w:cs="Arial"/>
          <w:szCs w:val="21"/>
        </w:rPr>
        <w:t xml:space="preserve">supplementary </w:t>
      </w:r>
      <w:r w:rsidR="00E30AD8">
        <w:rPr>
          <w:rFonts w:cs="Arial"/>
          <w:szCs w:val="21"/>
        </w:rPr>
        <w:t>reforms</w:t>
      </w:r>
      <w:r>
        <w:rPr>
          <w:rFonts w:cs="Arial"/>
          <w:szCs w:val="21"/>
        </w:rPr>
        <w:t xml:space="preserve"> are also proposed having regard to the work undertaken by the national </w:t>
      </w:r>
      <w:r w:rsidR="008F38BF">
        <w:rPr>
          <w:rFonts w:cs="Arial"/>
          <w:szCs w:val="21"/>
        </w:rPr>
        <w:t xml:space="preserve">CAG </w:t>
      </w:r>
      <w:r>
        <w:rPr>
          <w:rFonts w:cs="Arial"/>
          <w:szCs w:val="21"/>
        </w:rPr>
        <w:t>working group</w:t>
      </w:r>
      <w:r w:rsidR="00B275A1" w:rsidRPr="00B275A1">
        <w:rPr>
          <w:rFonts w:cs="Arial"/>
          <w:szCs w:val="21"/>
        </w:rPr>
        <w:t>:</w:t>
      </w:r>
    </w:p>
    <w:p w14:paraId="5DC87412" w14:textId="77777777" w:rsidR="00B275A1" w:rsidRPr="00B275A1" w:rsidRDefault="00E30AD8" w:rsidP="00B275A1">
      <w:pPr>
        <w:pStyle w:val="ListParagraph"/>
        <w:numPr>
          <w:ilvl w:val="0"/>
          <w:numId w:val="1"/>
        </w:numPr>
        <w:tabs>
          <w:tab w:val="left" w:pos="426"/>
        </w:tabs>
        <w:jc w:val="both"/>
        <w:outlineLvl w:val="0"/>
        <w:rPr>
          <w:rFonts w:ascii="Arial" w:hAnsi="Arial" w:cs="Arial"/>
          <w:sz w:val="21"/>
          <w:szCs w:val="21"/>
        </w:rPr>
      </w:pPr>
      <w:r>
        <w:rPr>
          <w:rFonts w:ascii="Arial" w:hAnsi="Arial" w:cs="Arial"/>
          <w:sz w:val="21"/>
          <w:szCs w:val="21"/>
        </w:rPr>
        <w:t>Amendments to ensure that a</w:t>
      </w:r>
      <w:r w:rsidR="00B275A1" w:rsidRPr="00B275A1">
        <w:rPr>
          <w:rFonts w:ascii="Arial" w:hAnsi="Arial" w:cs="Arial"/>
          <w:sz w:val="21"/>
          <w:szCs w:val="21"/>
        </w:rPr>
        <w:t xml:space="preserve"> jury should not be directed as to the standard of proof required for propensity evidence; and</w:t>
      </w:r>
    </w:p>
    <w:p w14:paraId="6E19C2BC" w14:textId="77777777" w:rsidR="00B275A1" w:rsidRPr="00B275A1" w:rsidRDefault="00E30AD8" w:rsidP="00B275A1">
      <w:pPr>
        <w:pStyle w:val="ListParagraph"/>
        <w:numPr>
          <w:ilvl w:val="0"/>
          <w:numId w:val="1"/>
        </w:numPr>
        <w:tabs>
          <w:tab w:val="left" w:pos="426"/>
        </w:tabs>
        <w:jc w:val="both"/>
        <w:outlineLvl w:val="0"/>
        <w:rPr>
          <w:rFonts w:ascii="Arial" w:hAnsi="Arial" w:cs="Arial"/>
          <w:sz w:val="21"/>
          <w:szCs w:val="21"/>
        </w:rPr>
      </w:pPr>
      <w:r>
        <w:rPr>
          <w:rFonts w:ascii="Arial" w:hAnsi="Arial" w:cs="Arial"/>
          <w:sz w:val="21"/>
          <w:szCs w:val="21"/>
        </w:rPr>
        <w:lastRenderedPageBreak/>
        <w:t>Amendments to c</w:t>
      </w:r>
      <w:r w:rsidR="00B275A1" w:rsidRPr="00B275A1">
        <w:rPr>
          <w:rFonts w:ascii="Arial" w:hAnsi="Arial" w:cs="Arial"/>
          <w:sz w:val="21"/>
          <w:szCs w:val="21"/>
        </w:rPr>
        <w:t>learly recognise that propensity evidence can cover circumstances where there are similarities in the accounts of multiple witnesses that make it improbabl</w:t>
      </w:r>
      <w:r w:rsidR="00300153">
        <w:rPr>
          <w:rFonts w:ascii="Arial" w:hAnsi="Arial" w:cs="Arial"/>
          <w:sz w:val="21"/>
          <w:szCs w:val="21"/>
        </w:rPr>
        <w:t>e that they are lying</w:t>
      </w:r>
      <w:r w:rsidR="00B275A1" w:rsidRPr="00B275A1">
        <w:rPr>
          <w:rFonts w:ascii="Arial" w:hAnsi="Arial" w:cs="Arial"/>
          <w:sz w:val="21"/>
          <w:szCs w:val="21"/>
        </w:rPr>
        <w:t>.</w:t>
      </w:r>
    </w:p>
    <w:p w14:paraId="6D508B39" w14:textId="77777777" w:rsidR="001322D1" w:rsidRPr="00041849" w:rsidRDefault="001322D1" w:rsidP="00041849">
      <w:pPr>
        <w:pStyle w:val="Heading1"/>
      </w:pPr>
      <w:r w:rsidRPr="00041849">
        <w:t>Jury Directions</w:t>
      </w:r>
    </w:p>
    <w:p w14:paraId="45F9FD52" w14:textId="77777777" w:rsidR="00B275A1" w:rsidRPr="00B275A1" w:rsidRDefault="00B275A1" w:rsidP="00B275A1">
      <w:pPr>
        <w:keepLines/>
        <w:spacing w:before="120" w:after="0" w:line="240" w:lineRule="auto"/>
        <w:jc w:val="both"/>
        <w:rPr>
          <w:rFonts w:cs="Arial"/>
          <w:szCs w:val="21"/>
        </w:rPr>
      </w:pPr>
      <w:r w:rsidRPr="00B275A1">
        <w:rPr>
          <w:rFonts w:cs="Arial"/>
          <w:szCs w:val="21"/>
        </w:rPr>
        <w:t xml:space="preserve">The </w:t>
      </w:r>
      <w:r w:rsidR="00300153">
        <w:rPr>
          <w:rFonts w:cs="Arial"/>
          <w:szCs w:val="21"/>
        </w:rPr>
        <w:t xml:space="preserve">Consultation Draft Bill also </w:t>
      </w:r>
      <w:r w:rsidRPr="00B275A1">
        <w:rPr>
          <w:rFonts w:cs="Arial"/>
          <w:szCs w:val="21"/>
        </w:rPr>
        <w:t>reform</w:t>
      </w:r>
      <w:r w:rsidR="00E30AD8">
        <w:rPr>
          <w:rFonts w:cs="Arial"/>
          <w:szCs w:val="21"/>
        </w:rPr>
        <w:t>s</w:t>
      </w:r>
      <w:r w:rsidRPr="00B275A1">
        <w:rPr>
          <w:rFonts w:cs="Arial"/>
          <w:szCs w:val="21"/>
        </w:rPr>
        <w:t xml:space="preserve"> </w:t>
      </w:r>
      <w:r w:rsidR="00300153">
        <w:rPr>
          <w:rFonts w:cs="Arial"/>
          <w:szCs w:val="21"/>
        </w:rPr>
        <w:t xml:space="preserve">certain </w:t>
      </w:r>
      <w:r w:rsidRPr="00B275A1">
        <w:rPr>
          <w:rFonts w:cs="Arial"/>
          <w:szCs w:val="21"/>
        </w:rPr>
        <w:t>judicial warnings and directions given to juries.</w:t>
      </w:r>
    </w:p>
    <w:p w14:paraId="2278171F" w14:textId="77777777" w:rsidR="00B275A1" w:rsidRPr="00041849" w:rsidRDefault="00B275A1" w:rsidP="00041849">
      <w:pPr>
        <w:pStyle w:val="Heading2"/>
        <w:rPr>
          <w:rFonts w:cs="Arial"/>
          <w:b/>
          <w:sz w:val="32"/>
          <w:szCs w:val="32"/>
        </w:rPr>
      </w:pPr>
      <w:r w:rsidRPr="00041849">
        <w:rPr>
          <w:rFonts w:cs="Arial"/>
          <w:b/>
          <w:sz w:val="32"/>
          <w:szCs w:val="32"/>
        </w:rPr>
        <w:t>What did the Royal Commission recommend?</w:t>
      </w:r>
    </w:p>
    <w:p w14:paraId="741BBC0D" w14:textId="5FE307BA" w:rsidR="00B275A1" w:rsidRPr="00B275A1" w:rsidRDefault="00B275A1" w:rsidP="00B275A1">
      <w:pPr>
        <w:overflowPunct w:val="0"/>
        <w:autoSpaceDE w:val="0"/>
        <w:autoSpaceDN w:val="0"/>
        <w:adjustRightInd w:val="0"/>
        <w:contextualSpacing/>
        <w:jc w:val="both"/>
        <w:textAlignment w:val="baseline"/>
        <w:rPr>
          <w:rFonts w:cs="Arial"/>
          <w:szCs w:val="21"/>
          <w:lang w:eastAsia="en-AU"/>
        </w:rPr>
      </w:pPr>
      <w:r w:rsidRPr="00B275A1">
        <w:rPr>
          <w:rFonts w:cs="Arial"/>
          <w:szCs w:val="21"/>
        </w:rPr>
        <w:t xml:space="preserve">The Royal Commission </w:t>
      </w:r>
      <w:r w:rsidR="00300153">
        <w:rPr>
          <w:rFonts w:cs="Arial"/>
          <w:szCs w:val="21"/>
        </w:rPr>
        <w:t xml:space="preserve">recommended </w:t>
      </w:r>
      <w:r w:rsidRPr="00B275A1">
        <w:rPr>
          <w:rFonts w:cs="Arial"/>
          <w:szCs w:val="21"/>
          <w:lang w:eastAsia="en-AU"/>
        </w:rPr>
        <w:t>state and territory governments review and, if necessary, appropriately reform legislation to restrict the giving of judicial directions and warnings to juries in child sex matters in relation to the following issues:</w:t>
      </w:r>
    </w:p>
    <w:p w14:paraId="670A3CFA" w14:textId="54AB8949" w:rsidR="00B275A1" w:rsidRPr="00B275A1" w:rsidRDefault="00B275A1" w:rsidP="00CF7DA4">
      <w:pPr>
        <w:pStyle w:val="ListParagraph"/>
        <w:numPr>
          <w:ilvl w:val="0"/>
          <w:numId w:val="3"/>
        </w:numPr>
        <w:overflowPunct w:val="0"/>
        <w:autoSpaceDE w:val="0"/>
        <w:autoSpaceDN w:val="0"/>
        <w:adjustRightInd w:val="0"/>
        <w:jc w:val="both"/>
        <w:textAlignment w:val="baseline"/>
        <w:rPr>
          <w:rFonts w:ascii="Arial" w:hAnsi="Arial" w:cs="Arial"/>
          <w:sz w:val="21"/>
          <w:szCs w:val="21"/>
        </w:rPr>
      </w:pPr>
      <w:r w:rsidRPr="00B275A1">
        <w:rPr>
          <w:rFonts w:ascii="Arial" w:hAnsi="Arial" w:cs="Arial"/>
          <w:sz w:val="21"/>
          <w:szCs w:val="21"/>
        </w:rPr>
        <w:t>The effect of delayed complaint on</w:t>
      </w:r>
      <w:r w:rsidR="00E85572">
        <w:rPr>
          <w:rFonts w:ascii="Arial" w:hAnsi="Arial" w:cs="Arial"/>
          <w:sz w:val="21"/>
          <w:szCs w:val="21"/>
        </w:rPr>
        <w:t xml:space="preserve"> a</w:t>
      </w:r>
      <w:r w:rsidRPr="00B275A1">
        <w:rPr>
          <w:rFonts w:ascii="Arial" w:hAnsi="Arial" w:cs="Arial"/>
          <w:sz w:val="21"/>
          <w:szCs w:val="21"/>
        </w:rPr>
        <w:t xml:space="preserve"> complainant’s credibility (Kilby/Crofts warning); </w:t>
      </w:r>
      <w:bookmarkStart w:id="0" w:name="_GoBack"/>
      <w:bookmarkEnd w:id="0"/>
    </w:p>
    <w:p w14:paraId="0ED21F36" w14:textId="057D513D" w:rsidR="00B275A1" w:rsidRPr="00B275A1" w:rsidRDefault="00B275A1" w:rsidP="00CF7DA4">
      <w:pPr>
        <w:pStyle w:val="ListParagraph"/>
        <w:numPr>
          <w:ilvl w:val="0"/>
          <w:numId w:val="3"/>
        </w:numPr>
        <w:overflowPunct w:val="0"/>
        <w:autoSpaceDE w:val="0"/>
        <w:autoSpaceDN w:val="0"/>
        <w:adjustRightInd w:val="0"/>
        <w:jc w:val="both"/>
        <w:textAlignment w:val="baseline"/>
        <w:rPr>
          <w:rFonts w:ascii="Arial" w:hAnsi="Arial" w:cs="Arial"/>
          <w:sz w:val="21"/>
          <w:szCs w:val="21"/>
        </w:rPr>
      </w:pPr>
      <w:r w:rsidRPr="00B275A1">
        <w:rPr>
          <w:rFonts w:ascii="Arial" w:hAnsi="Arial" w:cs="Arial"/>
          <w:sz w:val="21"/>
          <w:szCs w:val="21"/>
        </w:rPr>
        <w:t xml:space="preserve">The effect of delayed complaint on </w:t>
      </w:r>
      <w:r w:rsidR="00E85572">
        <w:rPr>
          <w:rFonts w:ascii="Arial" w:hAnsi="Arial" w:cs="Arial"/>
          <w:sz w:val="21"/>
          <w:szCs w:val="21"/>
        </w:rPr>
        <w:t xml:space="preserve">an </w:t>
      </w:r>
      <w:r w:rsidRPr="00B275A1">
        <w:rPr>
          <w:rFonts w:ascii="Arial" w:hAnsi="Arial" w:cs="Arial"/>
          <w:sz w:val="21"/>
          <w:szCs w:val="21"/>
        </w:rPr>
        <w:t xml:space="preserve">accused </w:t>
      </w:r>
      <w:r w:rsidR="00E85572">
        <w:rPr>
          <w:rFonts w:ascii="Arial" w:hAnsi="Arial" w:cs="Arial"/>
          <w:sz w:val="21"/>
          <w:szCs w:val="21"/>
        </w:rPr>
        <w:t xml:space="preserve">person’s </w:t>
      </w:r>
      <w:r w:rsidRPr="00B275A1">
        <w:rPr>
          <w:rFonts w:ascii="Arial" w:hAnsi="Arial" w:cs="Arial"/>
          <w:sz w:val="21"/>
          <w:szCs w:val="21"/>
        </w:rPr>
        <w:t>ability to prepare</w:t>
      </w:r>
      <w:r w:rsidR="00E85572">
        <w:rPr>
          <w:rFonts w:ascii="Arial" w:hAnsi="Arial" w:cs="Arial"/>
          <w:sz w:val="21"/>
          <w:szCs w:val="21"/>
        </w:rPr>
        <w:t xml:space="preserve"> their defence</w:t>
      </w:r>
      <w:r w:rsidRPr="00B275A1">
        <w:rPr>
          <w:rFonts w:ascii="Arial" w:hAnsi="Arial" w:cs="Arial"/>
          <w:sz w:val="21"/>
          <w:szCs w:val="21"/>
        </w:rPr>
        <w:t xml:space="preserve"> (Longman Direction);</w:t>
      </w:r>
    </w:p>
    <w:p w14:paraId="2E040CAC" w14:textId="77777777" w:rsidR="00B275A1" w:rsidRPr="00B275A1" w:rsidRDefault="00B275A1" w:rsidP="00CF7DA4">
      <w:pPr>
        <w:pStyle w:val="ListParagraph"/>
        <w:numPr>
          <w:ilvl w:val="0"/>
          <w:numId w:val="3"/>
        </w:numPr>
        <w:overflowPunct w:val="0"/>
        <w:autoSpaceDE w:val="0"/>
        <w:autoSpaceDN w:val="0"/>
        <w:adjustRightInd w:val="0"/>
        <w:jc w:val="both"/>
        <w:textAlignment w:val="baseline"/>
        <w:rPr>
          <w:rFonts w:ascii="Arial" w:hAnsi="Arial" w:cs="Arial"/>
          <w:sz w:val="21"/>
          <w:szCs w:val="21"/>
        </w:rPr>
      </w:pPr>
      <w:r w:rsidRPr="00B275A1">
        <w:rPr>
          <w:rFonts w:ascii="Arial" w:hAnsi="Arial" w:cs="Arial"/>
          <w:sz w:val="21"/>
          <w:szCs w:val="21"/>
        </w:rPr>
        <w:t xml:space="preserve">Reliability of uncorroborated evidence; and </w:t>
      </w:r>
    </w:p>
    <w:p w14:paraId="6C66E2D8" w14:textId="62F6D420" w:rsidR="00B275A1" w:rsidRPr="001C396A" w:rsidRDefault="00B275A1" w:rsidP="00CF7DA4">
      <w:pPr>
        <w:pStyle w:val="ListParagraph"/>
        <w:numPr>
          <w:ilvl w:val="0"/>
          <w:numId w:val="3"/>
        </w:numPr>
        <w:overflowPunct w:val="0"/>
        <w:autoSpaceDE w:val="0"/>
        <w:autoSpaceDN w:val="0"/>
        <w:adjustRightInd w:val="0"/>
        <w:jc w:val="both"/>
        <w:textAlignment w:val="baseline"/>
        <w:rPr>
          <w:rStyle w:val="FootnoteReference"/>
          <w:rFonts w:eastAsiaTheme="minorHAnsi"/>
          <w:color w:val="auto"/>
          <w:lang w:val="en-US"/>
        </w:rPr>
      </w:pPr>
      <w:r w:rsidRPr="00B275A1">
        <w:rPr>
          <w:rFonts w:ascii="Arial" w:hAnsi="Arial" w:cs="Arial"/>
          <w:sz w:val="21"/>
          <w:szCs w:val="21"/>
        </w:rPr>
        <w:t>Reliability of children’s evidence.</w:t>
      </w:r>
      <w:r w:rsidR="008F38BF" w:rsidRPr="008F38BF">
        <w:rPr>
          <w:rStyle w:val="FootnoteReference"/>
          <w:rFonts w:cs="Arial"/>
          <w:szCs w:val="21"/>
        </w:rPr>
        <w:t xml:space="preserve"> </w:t>
      </w:r>
      <w:r w:rsidR="008F38BF" w:rsidRPr="001C396A">
        <w:rPr>
          <w:rStyle w:val="FootnoteReference"/>
          <w:rFonts w:ascii="Arial" w:eastAsiaTheme="minorHAnsi" w:hAnsi="Arial" w:cs="Arial"/>
          <w:color w:val="auto"/>
          <w:sz w:val="21"/>
          <w:szCs w:val="21"/>
          <w:lang w:val="en-US"/>
        </w:rPr>
        <w:footnoteReference w:id="2"/>
      </w:r>
    </w:p>
    <w:p w14:paraId="421979CC" w14:textId="77777777" w:rsidR="00B275A1" w:rsidRPr="00B275A1" w:rsidRDefault="00B275A1" w:rsidP="00B275A1">
      <w:pPr>
        <w:jc w:val="both"/>
        <w:rPr>
          <w:rFonts w:cs="Arial"/>
          <w:szCs w:val="21"/>
          <w:lang w:eastAsia="en-AU"/>
        </w:rPr>
      </w:pPr>
    </w:p>
    <w:p w14:paraId="66624E5D" w14:textId="5CD17342" w:rsidR="00B275A1" w:rsidRPr="00B275A1" w:rsidRDefault="00B275A1" w:rsidP="00B275A1">
      <w:pPr>
        <w:jc w:val="both"/>
        <w:rPr>
          <w:rFonts w:cs="Arial"/>
          <w:szCs w:val="22"/>
        </w:rPr>
      </w:pPr>
      <w:r w:rsidRPr="00B275A1">
        <w:rPr>
          <w:rFonts w:cs="Arial"/>
          <w:szCs w:val="21"/>
          <w:lang w:eastAsia="en-AU"/>
        </w:rPr>
        <w:t>With the exception of the Longman</w:t>
      </w:r>
      <w:r w:rsidRPr="00B275A1">
        <w:rPr>
          <w:rStyle w:val="FootnoteReference"/>
          <w:rFonts w:cs="Arial"/>
          <w:szCs w:val="21"/>
          <w:lang w:eastAsia="en-AU"/>
        </w:rPr>
        <w:footnoteReference w:id="3"/>
      </w:r>
      <w:r w:rsidRPr="00B275A1">
        <w:rPr>
          <w:rFonts w:cs="Arial"/>
          <w:szCs w:val="21"/>
          <w:lang w:eastAsia="en-AU"/>
        </w:rPr>
        <w:t xml:space="preserve"> </w:t>
      </w:r>
      <w:r w:rsidRPr="00B275A1">
        <w:rPr>
          <w:rFonts w:cs="Arial"/>
          <w:szCs w:val="21"/>
        </w:rPr>
        <w:t>and Kilby/Crofts</w:t>
      </w:r>
      <w:r w:rsidRPr="00B275A1">
        <w:rPr>
          <w:rStyle w:val="FootnoteReference"/>
          <w:rFonts w:cs="Arial"/>
          <w:szCs w:val="21"/>
        </w:rPr>
        <w:footnoteReference w:id="4"/>
      </w:r>
      <w:r w:rsidRPr="00B275A1">
        <w:rPr>
          <w:rFonts w:cs="Arial"/>
          <w:szCs w:val="21"/>
        </w:rPr>
        <w:t xml:space="preserve"> directions</w:t>
      </w:r>
      <w:r w:rsidRPr="00B275A1">
        <w:rPr>
          <w:rFonts w:cs="Arial"/>
          <w:szCs w:val="21"/>
          <w:lang w:eastAsia="en-AU"/>
        </w:rPr>
        <w:t>, Queensland largely already complies with recommendation 65</w:t>
      </w:r>
      <w:r w:rsidR="009066AE">
        <w:rPr>
          <w:rFonts w:cs="Arial"/>
          <w:szCs w:val="21"/>
          <w:lang w:eastAsia="en-AU"/>
        </w:rPr>
        <w:t xml:space="preserve"> in the </w:t>
      </w:r>
      <w:r w:rsidR="009066AE" w:rsidRPr="004F084C">
        <w:rPr>
          <w:rFonts w:cs="Arial"/>
          <w:szCs w:val="21"/>
          <w:lang w:eastAsia="en-AU"/>
        </w:rPr>
        <w:t>Criminal Justice Report</w:t>
      </w:r>
      <w:r w:rsidRPr="004F084C">
        <w:rPr>
          <w:rFonts w:cs="Arial"/>
          <w:szCs w:val="21"/>
          <w:lang w:eastAsia="en-AU"/>
        </w:rPr>
        <w:t>.</w:t>
      </w:r>
      <w:r w:rsidRPr="00B275A1">
        <w:rPr>
          <w:rFonts w:cs="Arial"/>
          <w:szCs w:val="22"/>
        </w:rPr>
        <w:t xml:space="preserve"> </w:t>
      </w:r>
    </w:p>
    <w:p w14:paraId="64653C05" w14:textId="77777777" w:rsidR="00B275A1" w:rsidRPr="00041849" w:rsidRDefault="00B275A1" w:rsidP="00041849">
      <w:pPr>
        <w:pStyle w:val="Heading2"/>
        <w:rPr>
          <w:rFonts w:cs="Arial"/>
          <w:b/>
          <w:sz w:val="32"/>
          <w:szCs w:val="32"/>
        </w:rPr>
      </w:pPr>
      <w:r w:rsidRPr="00041849">
        <w:rPr>
          <w:rFonts w:cs="Arial"/>
          <w:b/>
          <w:sz w:val="32"/>
          <w:szCs w:val="32"/>
        </w:rPr>
        <w:t>What is Queensland proposing?</w:t>
      </w:r>
    </w:p>
    <w:p w14:paraId="1ABC7DC9" w14:textId="77777777" w:rsidR="00B275A1" w:rsidRPr="00B275A1" w:rsidRDefault="00CF7DA4" w:rsidP="00B275A1">
      <w:pPr>
        <w:jc w:val="both"/>
        <w:rPr>
          <w:rFonts w:cs="Arial"/>
          <w:bCs/>
          <w:szCs w:val="21"/>
        </w:rPr>
      </w:pPr>
      <w:r>
        <w:rPr>
          <w:rFonts w:cs="Arial"/>
          <w:bCs/>
          <w:szCs w:val="21"/>
        </w:rPr>
        <w:t>Amendments are proposed to</w:t>
      </w:r>
      <w:r w:rsidR="00B275A1" w:rsidRPr="00B275A1">
        <w:rPr>
          <w:rFonts w:cs="Arial"/>
          <w:bCs/>
          <w:szCs w:val="21"/>
        </w:rPr>
        <w:t xml:space="preserve"> the</w:t>
      </w:r>
      <w:r>
        <w:rPr>
          <w:rFonts w:cs="Arial"/>
          <w:bCs/>
          <w:szCs w:val="21"/>
        </w:rPr>
        <w:t xml:space="preserve"> Evidence Act</w:t>
      </w:r>
      <w:r w:rsidR="001F2E17">
        <w:rPr>
          <w:rFonts w:cs="Arial"/>
          <w:bCs/>
          <w:szCs w:val="21"/>
        </w:rPr>
        <w:t xml:space="preserve"> and the Criminal Code</w:t>
      </w:r>
      <w:r w:rsidR="00B275A1" w:rsidRPr="00B275A1">
        <w:rPr>
          <w:rFonts w:cs="Arial"/>
          <w:bCs/>
          <w:i/>
          <w:szCs w:val="21"/>
        </w:rPr>
        <w:t xml:space="preserve"> </w:t>
      </w:r>
      <w:r w:rsidR="00B275A1" w:rsidRPr="00B275A1">
        <w:rPr>
          <w:rFonts w:cs="Arial"/>
          <w:bCs/>
          <w:szCs w:val="21"/>
        </w:rPr>
        <w:t>to require:</w:t>
      </w:r>
    </w:p>
    <w:p w14:paraId="4C32460F" w14:textId="77777777" w:rsidR="00B275A1" w:rsidRPr="00B275A1" w:rsidRDefault="00CF7DA4" w:rsidP="00B275A1">
      <w:pPr>
        <w:pStyle w:val="ListParagraph"/>
        <w:numPr>
          <w:ilvl w:val="0"/>
          <w:numId w:val="4"/>
        </w:numPr>
        <w:overflowPunct w:val="0"/>
        <w:autoSpaceDE w:val="0"/>
        <w:autoSpaceDN w:val="0"/>
        <w:adjustRightInd w:val="0"/>
        <w:jc w:val="both"/>
        <w:textAlignment w:val="baseline"/>
        <w:rPr>
          <w:rFonts w:ascii="Arial" w:hAnsi="Arial" w:cs="Arial"/>
          <w:sz w:val="21"/>
          <w:szCs w:val="21"/>
        </w:rPr>
      </w:pPr>
      <w:r>
        <w:rPr>
          <w:rFonts w:ascii="Arial" w:hAnsi="Arial" w:cs="Arial"/>
          <w:bCs/>
          <w:sz w:val="21"/>
          <w:szCs w:val="21"/>
        </w:rPr>
        <w:t>t</w:t>
      </w:r>
      <w:r w:rsidR="00B275A1" w:rsidRPr="00B275A1">
        <w:rPr>
          <w:rFonts w:ascii="Arial" w:hAnsi="Arial" w:cs="Arial"/>
          <w:bCs/>
          <w:sz w:val="21"/>
          <w:szCs w:val="21"/>
        </w:rPr>
        <w:t xml:space="preserve">hat if a trial judge is </w:t>
      </w:r>
      <w:r w:rsidR="00B275A1" w:rsidRPr="00B275A1">
        <w:rPr>
          <w:rFonts w:ascii="Arial" w:hAnsi="Arial" w:cs="Arial"/>
          <w:sz w:val="21"/>
          <w:szCs w:val="21"/>
        </w:rPr>
        <w:t>satisfied that an accused person suffered a significant forensic disadvantage because of the delay in prosecuting a charge (including any delay in reporting the alleged offence), the trial judge must inform the jury of the nature of that disadvantage and the need to take that disadvantage into accoun</w:t>
      </w:r>
      <w:r>
        <w:rPr>
          <w:rFonts w:ascii="Arial" w:hAnsi="Arial" w:cs="Arial"/>
          <w:sz w:val="21"/>
          <w:szCs w:val="21"/>
        </w:rPr>
        <w:t xml:space="preserve">t when considering the evidence; </w:t>
      </w:r>
    </w:p>
    <w:p w14:paraId="3FB69693" w14:textId="77777777" w:rsidR="00B275A1" w:rsidRPr="00B275A1" w:rsidRDefault="00CF7DA4" w:rsidP="00B275A1">
      <w:pPr>
        <w:pStyle w:val="ListParagraph"/>
        <w:numPr>
          <w:ilvl w:val="0"/>
          <w:numId w:val="4"/>
        </w:numPr>
        <w:overflowPunct w:val="0"/>
        <w:autoSpaceDE w:val="0"/>
        <w:autoSpaceDN w:val="0"/>
        <w:adjustRightInd w:val="0"/>
        <w:jc w:val="both"/>
        <w:textAlignment w:val="baseline"/>
        <w:rPr>
          <w:rFonts w:ascii="Arial" w:hAnsi="Arial" w:cs="Arial"/>
          <w:sz w:val="21"/>
          <w:szCs w:val="21"/>
        </w:rPr>
      </w:pPr>
      <w:r>
        <w:rPr>
          <w:rFonts w:ascii="Arial" w:hAnsi="Arial" w:cs="Arial"/>
          <w:sz w:val="21"/>
          <w:szCs w:val="21"/>
        </w:rPr>
        <w:t>that a</w:t>
      </w:r>
      <w:r w:rsidR="00B275A1" w:rsidRPr="00B275A1">
        <w:rPr>
          <w:rFonts w:ascii="Arial" w:hAnsi="Arial" w:cs="Arial"/>
          <w:sz w:val="21"/>
          <w:szCs w:val="21"/>
        </w:rPr>
        <w:t xml:space="preserve"> significant forensic disadvantage will not </w:t>
      </w:r>
      <w:r w:rsidR="00E82E42">
        <w:rPr>
          <w:rFonts w:ascii="Arial" w:hAnsi="Arial" w:cs="Arial"/>
          <w:sz w:val="21"/>
          <w:szCs w:val="21"/>
        </w:rPr>
        <w:t xml:space="preserve">be </w:t>
      </w:r>
      <w:r w:rsidR="00B275A1" w:rsidRPr="00B275A1">
        <w:rPr>
          <w:rFonts w:ascii="Arial" w:hAnsi="Arial" w:cs="Arial"/>
          <w:sz w:val="21"/>
          <w:szCs w:val="21"/>
        </w:rPr>
        <w:t>established by the mere fact of delay alone</w:t>
      </w:r>
      <w:r>
        <w:rPr>
          <w:rFonts w:ascii="Arial" w:hAnsi="Arial" w:cs="Arial"/>
          <w:sz w:val="21"/>
          <w:szCs w:val="21"/>
        </w:rPr>
        <w:t xml:space="preserve">; </w:t>
      </w:r>
    </w:p>
    <w:p w14:paraId="5ABB592C" w14:textId="77777777" w:rsidR="00B275A1" w:rsidRPr="00B275A1" w:rsidRDefault="00CF7DA4" w:rsidP="00B275A1">
      <w:pPr>
        <w:pStyle w:val="ListParagraph"/>
        <w:numPr>
          <w:ilvl w:val="0"/>
          <w:numId w:val="4"/>
        </w:numPr>
        <w:overflowPunct w:val="0"/>
        <w:autoSpaceDE w:val="0"/>
        <w:autoSpaceDN w:val="0"/>
        <w:adjustRightInd w:val="0"/>
        <w:jc w:val="both"/>
        <w:textAlignment w:val="baseline"/>
        <w:rPr>
          <w:rFonts w:ascii="Arial" w:hAnsi="Arial" w:cs="Arial"/>
          <w:sz w:val="21"/>
          <w:szCs w:val="21"/>
        </w:rPr>
      </w:pPr>
      <w:r>
        <w:rPr>
          <w:rFonts w:ascii="Arial" w:hAnsi="Arial" w:cs="Arial"/>
          <w:sz w:val="21"/>
          <w:szCs w:val="21"/>
        </w:rPr>
        <w:t>that a</w:t>
      </w:r>
      <w:r w:rsidR="00B275A1" w:rsidRPr="00B275A1">
        <w:rPr>
          <w:rFonts w:ascii="Arial" w:hAnsi="Arial" w:cs="Arial"/>
          <w:sz w:val="21"/>
          <w:szCs w:val="21"/>
        </w:rPr>
        <w:t xml:space="preserve"> trial judge may refuse to give a warning or explanation if there are good reasons for doing so</w:t>
      </w:r>
      <w:r>
        <w:rPr>
          <w:rFonts w:ascii="Arial" w:hAnsi="Arial" w:cs="Arial"/>
          <w:sz w:val="21"/>
          <w:szCs w:val="21"/>
        </w:rPr>
        <w:t>; and</w:t>
      </w:r>
    </w:p>
    <w:p w14:paraId="6058C9AB" w14:textId="09D08A6D" w:rsidR="00B275A1" w:rsidRPr="00B275A1" w:rsidRDefault="00CF7DA4" w:rsidP="00B275A1">
      <w:pPr>
        <w:pStyle w:val="ListParagraph"/>
        <w:numPr>
          <w:ilvl w:val="0"/>
          <w:numId w:val="4"/>
        </w:numPr>
        <w:overflowPunct w:val="0"/>
        <w:autoSpaceDE w:val="0"/>
        <w:autoSpaceDN w:val="0"/>
        <w:adjustRightInd w:val="0"/>
        <w:jc w:val="both"/>
        <w:textAlignment w:val="baseline"/>
        <w:rPr>
          <w:rFonts w:ascii="Arial" w:hAnsi="Arial" w:cs="Arial"/>
          <w:sz w:val="21"/>
          <w:szCs w:val="21"/>
        </w:rPr>
      </w:pPr>
      <w:r>
        <w:rPr>
          <w:rFonts w:ascii="Arial" w:hAnsi="Arial" w:cs="Arial"/>
          <w:sz w:val="21"/>
          <w:szCs w:val="21"/>
        </w:rPr>
        <w:t>that e</w:t>
      </w:r>
      <w:r w:rsidR="00B275A1" w:rsidRPr="00B275A1">
        <w:rPr>
          <w:rFonts w:ascii="Arial" w:hAnsi="Arial" w:cs="Arial"/>
          <w:sz w:val="21"/>
          <w:szCs w:val="21"/>
        </w:rPr>
        <w:t xml:space="preserve">xpressions such as ‘dangerous or unsafe to convict’ and ‘scrutinise with great care’ may not be used in warnings given to juries </w:t>
      </w:r>
      <w:r w:rsidR="00E85572">
        <w:rPr>
          <w:rFonts w:ascii="Arial" w:hAnsi="Arial" w:cs="Arial"/>
          <w:sz w:val="21"/>
          <w:szCs w:val="21"/>
        </w:rPr>
        <w:t>in certain circumstances</w:t>
      </w:r>
      <w:r w:rsidR="00B275A1" w:rsidRPr="00B275A1">
        <w:rPr>
          <w:rFonts w:ascii="Arial" w:hAnsi="Arial" w:cs="Arial"/>
          <w:sz w:val="21"/>
          <w:szCs w:val="21"/>
        </w:rPr>
        <w:t xml:space="preserve">. </w:t>
      </w:r>
    </w:p>
    <w:p w14:paraId="493D9969" w14:textId="77777777" w:rsidR="00B275A1" w:rsidRPr="00B275A1" w:rsidRDefault="00B275A1" w:rsidP="00B275A1">
      <w:pPr>
        <w:pStyle w:val="Contactdetailsname"/>
        <w:rPr>
          <w:rFonts w:ascii="Arial" w:hAnsi="Arial" w:cs="Arial"/>
        </w:rPr>
      </w:pPr>
      <w:r w:rsidRPr="00B275A1">
        <w:rPr>
          <w:rFonts w:ascii="Arial" w:hAnsi="Arial" w:cs="Arial"/>
        </w:rPr>
        <w:t>Further reading:</w:t>
      </w:r>
    </w:p>
    <w:p w14:paraId="5B332763" w14:textId="77777777" w:rsidR="00B275A1" w:rsidRDefault="00B275A1" w:rsidP="00B275A1">
      <w:pPr>
        <w:jc w:val="both"/>
        <w:rPr>
          <w:rFonts w:cs="Arial"/>
          <w:color w:val="0563C1" w:themeColor="hyperlink"/>
          <w:u w:val="single"/>
        </w:rPr>
      </w:pPr>
      <w:r w:rsidRPr="00B275A1">
        <w:rPr>
          <w:rFonts w:cs="Arial"/>
        </w:rPr>
        <w:t>For more details on the Royal Commission recommendations:</w:t>
      </w:r>
      <w:r w:rsidRPr="00B275A1">
        <w:rPr>
          <w:rFonts w:cs="Arial"/>
          <w:color w:val="1F497D"/>
        </w:rPr>
        <w:t xml:space="preserve"> </w:t>
      </w:r>
      <w:hyperlink r:id="rId14" w:history="1">
        <w:r w:rsidRPr="00B275A1">
          <w:rPr>
            <w:rFonts w:cs="Arial"/>
            <w:color w:val="0563C1" w:themeColor="hyperlink"/>
            <w:u w:val="single"/>
          </w:rPr>
          <w:t>https://www.childabuseroyalcommission.gov.au/media-releases/report-criminal-justice-released</w:t>
        </w:r>
      </w:hyperlink>
    </w:p>
    <w:p w14:paraId="547ADD6D" w14:textId="77777777" w:rsidR="001322D1" w:rsidRDefault="001322D1" w:rsidP="00B275A1">
      <w:pPr>
        <w:jc w:val="both"/>
        <w:rPr>
          <w:rFonts w:cs="Arial"/>
          <w:color w:val="0563C1" w:themeColor="hyperlink"/>
          <w:u w:val="single"/>
        </w:rPr>
      </w:pPr>
    </w:p>
    <w:p w14:paraId="40369BCF" w14:textId="64951B9E" w:rsidR="00842DD4" w:rsidRPr="001F3159" w:rsidRDefault="00842DD4" w:rsidP="00842DD4">
      <w:pPr>
        <w:jc w:val="both"/>
        <w:rPr>
          <w:rFonts w:eastAsiaTheme="majorEastAsia" w:cs="Arial"/>
          <w:b/>
          <w:color w:val="AF4C64"/>
          <w:sz w:val="20"/>
          <w:szCs w:val="20"/>
        </w:rPr>
      </w:pPr>
      <w:r w:rsidRPr="001F3159">
        <w:rPr>
          <w:rFonts w:eastAsiaTheme="majorEastAsia" w:cs="Arial"/>
          <w:b/>
          <w:color w:val="AF4C64"/>
          <w:sz w:val="20"/>
          <w:szCs w:val="20"/>
        </w:rPr>
        <w:t xml:space="preserve">Submissions on the Consultation Draft Bill are due by 5pm Friday, 20 September 2019 to </w:t>
      </w:r>
      <w:hyperlink r:id="rId15" w:history="1">
        <w:r w:rsidRPr="001F3159">
          <w:rPr>
            <w:rFonts w:eastAsiaTheme="majorEastAsia" w:cs="Arial"/>
            <w:b/>
            <w:color w:val="AF4C64"/>
            <w:sz w:val="20"/>
            <w:szCs w:val="20"/>
          </w:rPr>
          <w:t>childsexualoffencesreform@justice.qld.gov.au</w:t>
        </w:r>
      </w:hyperlink>
      <w:r w:rsidRPr="001F3159">
        <w:rPr>
          <w:rFonts w:eastAsiaTheme="majorEastAsia" w:cs="Arial"/>
          <w:b/>
          <w:color w:val="AF4C64"/>
          <w:sz w:val="20"/>
          <w:szCs w:val="20"/>
        </w:rPr>
        <w:t xml:space="preserve"> or GPO Box 149 BRISBANE QLD 4001. For more information visit </w:t>
      </w:r>
      <w:hyperlink r:id="rId16" w:history="1">
        <w:r w:rsidRPr="00132708">
          <w:rPr>
            <w:rStyle w:val="Hyperlink"/>
            <w:rFonts w:eastAsiaTheme="majorEastAsia" w:cs="Arial"/>
            <w:b/>
            <w:sz w:val="20"/>
            <w:szCs w:val="20"/>
          </w:rPr>
          <w:t>www.GetInvolved.qld.gov.au</w:t>
        </w:r>
      </w:hyperlink>
    </w:p>
    <w:p w14:paraId="4D93F54E" w14:textId="77777777" w:rsidR="00842DD4" w:rsidRPr="00B275A1" w:rsidRDefault="00842DD4" w:rsidP="00B275A1">
      <w:pPr>
        <w:jc w:val="both"/>
        <w:rPr>
          <w:rFonts w:cs="Arial"/>
          <w:color w:val="0563C1" w:themeColor="hyperlink"/>
          <w:u w:val="single"/>
        </w:rPr>
      </w:pPr>
    </w:p>
    <w:p w14:paraId="088D7DFC" w14:textId="77777777" w:rsidR="005C6530" w:rsidRPr="003233D4" w:rsidRDefault="005C6530" w:rsidP="003233D4">
      <w:pPr>
        <w:jc w:val="both"/>
        <w:rPr>
          <w:rFonts w:cs="Arial"/>
        </w:rPr>
      </w:pPr>
    </w:p>
    <w:sectPr w:rsidR="005C6530" w:rsidRPr="003233D4" w:rsidSect="004702B1">
      <w:headerReference w:type="first" r:id="rId17"/>
      <w:footerReference w:type="first" r:id="rId18"/>
      <w:type w:val="continuous"/>
      <w:pgSz w:w="11900" w:h="16840"/>
      <w:pgMar w:top="1440" w:right="1021" w:bottom="1440" w:left="1021" w:header="709" w:footer="624"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A7C84" w14:textId="77777777" w:rsidR="00AB621C" w:rsidRDefault="00AB621C" w:rsidP="00B275A1">
      <w:pPr>
        <w:spacing w:after="0" w:line="240" w:lineRule="auto"/>
      </w:pPr>
      <w:r>
        <w:separator/>
      </w:r>
    </w:p>
  </w:endnote>
  <w:endnote w:type="continuationSeparator" w:id="0">
    <w:p w14:paraId="03BB7178" w14:textId="77777777" w:rsidR="00AB621C" w:rsidRDefault="00AB621C" w:rsidP="00B2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04BE0" w14:textId="77777777" w:rsidR="004702B1" w:rsidRDefault="004702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7CA5" w14:textId="77777777" w:rsidR="004702B1" w:rsidRDefault="004702B1" w:rsidP="004702B1">
    <w:pPr>
      <w:pStyle w:val="Footer"/>
      <w:tabs>
        <w:tab w:val="clear" w:pos="9026"/>
      </w:tabs>
    </w:pPr>
    <w:r>
      <w:rPr>
        <w:noProof/>
        <w:lang w:val="en-AU" w:eastAsia="en-AU"/>
      </w:rPr>
      <w:drawing>
        <wp:anchor distT="0" distB="0" distL="114300" distR="114300" simplePos="0" relativeHeight="251660288" behindDoc="1" locked="1" layoutInCell="1" allowOverlap="1" wp14:anchorId="5E857942" wp14:editId="4189C9AB">
          <wp:simplePos x="0" y="0"/>
          <wp:positionH relativeFrom="page">
            <wp:align>center</wp:align>
          </wp:positionH>
          <wp:positionV relativeFrom="page">
            <wp:align>bottom</wp:align>
          </wp:positionV>
          <wp:extent cx="7560000" cy="1256400"/>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158_CS Corporate Department A4 PMS_207 TEMPLATE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page">
            <wp14:pctWidth>0</wp14:pctWidth>
          </wp14:sizeRelH>
          <wp14:sizeRelV relativeFrom="page">
            <wp14:pctHeight>0</wp14:pctHeight>
          </wp14:sizeRelV>
        </wp:anchor>
      </w:drawing>
    </w:r>
  </w:p>
  <w:p w14:paraId="4D0FA45A" w14:textId="77777777" w:rsidR="004702B1" w:rsidRPr="00541E30" w:rsidRDefault="004702B1" w:rsidP="004702B1">
    <w:pPr>
      <w:pStyle w:val="Footer"/>
    </w:pPr>
  </w:p>
  <w:p w14:paraId="6C20E570" w14:textId="77777777" w:rsidR="004702B1" w:rsidRPr="004A31F3" w:rsidRDefault="004702B1" w:rsidP="004702B1">
    <w:pPr>
      <w:pStyle w:val="Footer"/>
      <w:ind w:firstLine="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4863D" w14:textId="77777777" w:rsidR="004702B1" w:rsidRDefault="004702B1" w:rsidP="004702B1">
    <w:pPr>
      <w:pStyle w:val="Footer"/>
      <w:tabs>
        <w:tab w:val="clear" w:pos="9026"/>
      </w:tabs>
    </w:pPr>
  </w:p>
  <w:p w14:paraId="219E8C9B" w14:textId="77777777" w:rsidR="004702B1" w:rsidRPr="00541E30" w:rsidRDefault="004702B1" w:rsidP="004702B1">
    <w:pPr>
      <w:pStyle w:val="Footer"/>
    </w:pPr>
    <w:r>
      <w:rPr>
        <w:noProof/>
        <w:lang w:val="en-AU" w:eastAsia="en-AU"/>
      </w:rPr>
      <w:drawing>
        <wp:anchor distT="0" distB="0" distL="114300" distR="114300" simplePos="0" relativeHeight="251658240" behindDoc="1" locked="1" layoutInCell="1" allowOverlap="1" wp14:anchorId="3A1F106F" wp14:editId="54C64079">
          <wp:simplePos x="0" y="0"/>
          <wp:positionH relativeFrom="page">
            <wp:align>left</wp:align>
          </wp:positionH>
          <wp:positionV relativeFrom="page">
            <wp:align>bottom</wp:align>
          </wp:positionV>
          <wp:extent cx="7560000" cy="1256400"/>
          <wp:effectExtent l="0" t="0" r="3175"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158_CS Corporate Department A4 PMS_207 TEMPLATE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23B18" w14:textId="77777777" w:rsidR="004702B1" w:rsidRPr="00F74751" w:rsidRDefault="004702B1" w:rsidP="004702B1">
    <w:pPr>
      <w:pStyle w:val="Footer"/>
    </w:pPr>
    <w:r w:rsidRPr="00ED6FA4">
      <w:rPr>
        <w:noProof/>
        <w:lang w:val="en-AU" w:eastAsia="en-AU"/>
      </w:rPr>
      <w:drawing>
        <wp:anchor distT="0" distB="0" distL="114300" distR="114300" simplePos="0" relativeHeight="251655168" behindDoc="1" locked="0" layoutInCell="1" allowOverlap="1" wp14:anchorId="54A44D1B" wp14:editId="3E2ED4E8">
          <wp:simplePos x="0" y="0"/>
          <wp:positionH relativeFrom="page">
            <wp:align>right</wp:align>
          </wp:positionH>
          <wp:positionV relativeFrom="paragraph">
            <wp:posOffset>123190</wp:posOffset>
          </wp:positionV>
          <wp:extent cx="7571740" cy="10309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158_CS Corporate Department A4 TEMPLATES FOOTER 2.jpg"/>
                  <pic:cNvPicPr/>
                </pic:nvPicPr>
                <pic:blipFill>
                  <a:blip r:embed="rId1">
                    <a:extLst>
                      <a:ext uri="{28A0092B-C50C-407E-A947-70E740481C1C}">
                        <a14:useLocalDpi xmlns:a14="http://schemas.microsoft.com/office/drawing/2010/main" val="0"/>
                      </a:ext>
                    </a:extLst>
                  </a:blip>
                  <a:stretch>
                    <a:fillRect/>
                  </a:stretch>
                </pic:blipFill>
                <pic:spPr>
                  <a:xfrm>
                    <a:off x="0" y="0"/>
                    <a:ext cx="7571740" cy="1030985"/>
                  </a:xfrm>
                  <a:prstGeom prst="rect">
                    <a:avLst/>
                  </a:prstGeom>
                </pic:spPr>
              </pic:pic>
            </a:graphicData>
          </a:graphic>
          <wp14:sizeRelH relativeFrom="page">
            <wp14:pctWidth>0</wp14:pctWidth>
          </wp14:sizeRelH>
          <wp14:sizeRelV relativeFrom="page">
            <wp14:pctHeight>0</wp14:pctHeight>
          </wp14:sizeRelV>
        </wp:anchor>
      </w:drawing>
    </w:r>
  </w:p>
  <w:p w14:paraId="6C31AF34" w14:textId="77777777" w:rsidR="004702B1" w:rsidRPr="00F74751" w:rsidRDefault="004702B1">
    <w:pPr>
      <w:pStyle w:val="Footer"/>
    </w:pPr>
  </w:p>
  <w:p w14:paraId="491B5387" w14:textId="77777777" w:rsidR="004702B1" w:rsidRPr="00F74751" w:rsidRDefault="00470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A0934" w14:textId="77777777" w:rsidR="00AB621C" w:rsidRDefault="00AB621C" w:rsidP="00B275A1">
      <w:pPr>
        <w:spacing w:after="0" w:line="240" w:lineRule="auto"/>
      </w:pPr>
      <w:r>
        <w:separator/>
      </w:r>
    </w:p>
  </w:footnote>
  <w:footnote w:type="continuationSeparator" w:id="0">
    <w:p w14:paraId="528315F4" w14:textId="77777777" w:rsidR="00AB621C" w:rsidRDefault="00AB621C" w:rsidP="00B275A1">
      <w:pPr>
        <w:spacing w:after="0" w:line="240" w:lineRule="auto"/>
      </w:pPr>
      <w:r>
        <w:continuationSeparator/>
      </w:r>
    </w:p>
  </w:footnote>
  <w:footnote w:id="1">
    <w:p w14:paraId="25AAA8CA" w14:textId="77777777" w:rsidR="004702B1" w:rsidRDefault="004702B1" w:rsidP="00B275A1">
      <w:pPr>
        <w:pStyle w:val="FootnoteText"/>
      </w:pPr>
      <w:r>
        <w:rPr>
          <w:rStyle w:val="FootnoteReference"/>
        </w:rPr>
        <w:footnoteRef/>
      </w:r>
      <w:r>
        <w:t xml:space="preserve"> Recommendations 44-51</w:t>
      </w:r>
    </w:p>
  </w:footnote>
  <w:footnote w:id="2">
    <w:p w14:paraId="68501307" w14:textId="77777777" w:rsidR="004702B1" w:rsidRDefault="004702B1" w:rsidP="008F38BF">
      <w:pPr>
        <w:pStyle w:val="FootnoteText"/>
      </w:pPr>
      <w:r>
        <w:rPr>
          <w:rStyle w:val="FootnoteReference"/>
        </w:rPr>
        <w:footnoteRef/>
      </w:r>
      <w:r>
        <w:t xml:space="preserve"> Recommendation 65</w:t>
      </w:r>
    </w:p>
  </w:footnote>
  <w:footnote w:id="3">
    <w:p w14:paraId="491A8A7C" w14:textId="77777777" w:rsidR="004702B1" w:rsidRPr="00D729BB" w:rsidRDefault="004702B1" w:rsidP="00B275A1">
      <w:pPr>
        <w:pStyle w:val="FootnoteText"/>
        <w:rPr>
          <w:i/>
        </w:rPr>
      </w:pPr>
      <w:r>
        <w:rPr>
          <w:rStyle w:val="FootnoteReference"/>
        </w:rPr>
        <w:footnoteRef/>
      </w:r>
      <w:r>
        <w:t xml:space="preserve"> </w:t>
      </w:r>
      <w:r>
        <w:rPr>
          <w:i/>
        </w:rPr>
        <w:t xml:space="preserve">Longman v R </w:t>
      </w:r>
      <w:r>
        <w:t>(1989) 168 CLR 79</w:t>
      </w:r>
    </w:p>
  </w:footnote>
  <w:footnote w:id="4">
    <w:p w14:paraId="1A3F8041" w14:textId="77777777" w:rsidR="004702B1" w:rsidRDefault="004702B1" w:rsidP="00B275A1">
      <w:pPr>
        <w:pStyle w:val="FootnoteText"/>
      </w:pPr>
      <w:r>
        <w:rPr>
          <w:rStyle w:val="FootnoteReference"/>
        </w:rPr>
        <w:footnoteRef/>
      </w:r>
      <w:r>
        <w:t xml:space="preserve"> </w:t>
      </w:r>
      <w:r>
        <w:rPr>
          <w:i/>
        </w:rPr>
        <w:t xml:space="preserve">Kilby v R </w:t>
      </w:r>
      <w:r>
        <w:t>(</w:t>
      </w:r>
      <w:r w:rsidRPr="009B713B">
        <w:t>1</w:t>
      </w:r>
      <w:r>
        <w:t xml:space="preserve">973) 129 CLR 460 and </w:t>
      </w:r>
      <w:r>
        <w:rPr>
          <w:i/>
        </w:rPr>
        <w:t xml:space="preserve">Crofts v R </w:t>
      </w:r>
      <w:r>
        <w:t>(1996) 186 CLR 427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05879" w14:textId="77777777" w:rsidR="004702B1" w:rsidRDefault="004702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9F555" w14:textId="77777777" w:rsidR="004702B1" w:rsidRDefault="004702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6B706" w14:textId="74D13ED1" w:rsidR="004702B1" w:rsidRPr="00541E30" w:rsidRDefault="004702B1" w:rsidP="004702B1">
    <w:pPr>
      <w:pStyle w:val="Header"/>
    </w:pPr>
    <w:r>
      <w:rPr>
        <w:noProof/>
        <w:lang w:val="en-AU" w:eastAsia="en-AU"/>
      </w:rPr>
      <mc:AlternateContent>
        <mc:Choice Requires="wps">
          <w:drawing>
            <wp:anchor distT="0" distB="0" distL="114300" distR="114300" simplePos="0" relativeHeight="251657216" behindDoc="0" locked="0" layoutInCell="1" allowOverlap="1" wp14:anchorId="54C9689F" wp14:editId="4DBF8F87">
              <wp:simplePos x="0" y="0"/>
              <wp:positionH relativeFrom="column">
                <wp:posOffset>-126061</wp:posOffset>
              </wp:positionH>
              <wp:positionV relativeFrom="paragraph">
                <wp:posOffset>-351790</wp:posOffset>
              </wp:positionV>
              <wp:extent cx="2009775" cy="4292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9775" cy="429260"/>
                      </a:xfrm>
                      <a:prstGeom prst="rect">
                        <a:avLst/>
                      </a:prstGeom>
                      <a:noFill/>
                      <a:ln w="6350">
                        <a:noFill/>
                      </a:ln>
                    </wps:spPr>
                    <wps:txbx>
                      <w:txbxContent>
                        <w:p w14:paraId="47021261" w14:textId="77777777" w:rsidR="004702B1" w:rsidRPr="009C4922" w:rsidRDefault="004702B1" w:rsidP="004702B1">
                          <w:pPr>
                            <w:pStyle w:val="Documenttypeinheader"/>
                          </w:pPr>
                          <w:r>
                            <w:t xml:space="preserve">Fact </w:t>
                          </w:r>
                          <w:r w:rsidRPr="009C4922">
                            <w:t>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9689F" id="_x0000_t202" coordsize="21600,21600" o:spt="202" path="m,l,21600r21600,l21600,xe">
              <v:stroke joinstyle="miter"/>
              <v:path gradientshapeok="t" o:connecttype="rect"/>
            </v:shapetype>
            <v:shape id="Text Box 1" o:spid="_x0000_s1026" type="#_x0000_t202" style="position:absolute;margin-left:-9.95pt;margin-top:-27.7pt;width:158.2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" filled="f" stroked="f" strokeweight=".5pt">
              <v:textbox>
                <w:txbxContent>
                  <w:p w14:paraId="47021261" w14:textId="77777777" w:rsidR="004702B1" w:rsidRPr="009C4922" w:rsidRDefault="004702B1" w:rsidP="004702B1">
                    <w:pPr>
                      <w:pStyle w:val="Documenttypeinheader"/>
                    </w:pPr>
                    <w:r>
                      <w:t xml:space="preserve">Fact </w:t>
                    </w:r>
                    <w:r w:rsidRPr="009C4922">
                      <w:t>sheet</w:t>
                    </w:r>
                  </w:p>
                </w:txbxContent>
              </v:textbox>
            </v:shape>
          </w:pict>
        </mc:Fallback>
      </mc:AlternateContent>
    </w:r>
    <w:r>
      <w:rPr>
        <w:noProof/>
        <w:lang w:val="en-AU" w:eastAsia="en-AU"/>
      </w:rPr>
      <w:drawing>
        <wp:anchor distT="0" distB="0" distL="114300" distR="114300" simplePos="0" relativeHeight="251659264" behindDoc="1" locked="1" layoutInCell="1" allowOverlap="1" wp14:anchorId="48F1F9DF" wp14:editId="060BB2F6">
          <wp:simplePos x="0" y="0"/>
          <wp:positionH relativeFrom="page">
            <wp:align>center</wp:align>
          </wp:positionH>
          <wp:positionV relativeFrom="page">
            <wp:posOffset>0</wp:posOffset>
          </wp:positionV>
          <wp:extent cx="7560000" cy="1288800"/>
          <wp:effectExtent l="0" t="0" r="317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158_CS Corporate Department A4 PMS_207 TEMPLATES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88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54144" behindDoc="0" locked="0" layoutInCell="1" allowOverlap="1" wp14:anchorId="09DD3DC5" wp14:editId="07975D1A">
              <wp:simplePos x="0" y="0"/>
              <wp:positionH relativeFrom="page">
                <wp:posOffset>-107646</wp:posOffset>
              </wp:positionH>
              <wp:positionV relativeFrom="paragraph">
                <wp:posOffset>-356870</wp:posOffset>
              </wp:positionV>
              <wp:extent cx="7012940" cy="0"/>
              <wp:effectExtent l="0" t="0" r="35560" b="19050"/>
              <wp:wrapNone/>
              <wp:docPr id="2" name="Straight Connector 2"/>
              <wp:cNvGraphicFramePr/>
              <a:graphic xmlns:a="http://schemas.openxmlformats.org/drawingml/2006/main">
                <a:graphicData uri="http://schemas.microsoft.com/office/word/2010/wordprocessingShape">
                  <wps:wsp>
                    <wps:cNvCnPr/>
                    <wps:spPr>
                      <a:xfrm>
                        <a:off x="0" y="0"/>
                        <a:ext cx="701294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1C8D94" id="Straight Connecto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8.5pt,-28.1pt" to="543.7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" strokecolor="white [3212]" strokeweight=".5pt">
              <v:stroke joinstyle="miter"/>
              <w10:wrap anchorx="page"/>
            </v:line>
          </w:pict>
        </mc:Fallback>
      </mc:AlternateContent>
    </w:r>
    <w:r>
      <w:rPr>
        <w:noProof/>
        <w:lang w:val="en-AU" w:eastAsia="en-AU"/>
      </w:rPr>
      <mc:AlternateContent>
        <mc:Choice Requires="wps">
          <w:drawing>
            <wp:anchor distT="0" distB="0" distL="114300" distR="114300" simplePos="0" relativeHeight="251656192" behindDoc="0" locked="0" layoutInCell="1" allowOverlap="1" wp14:anchorId="54DB5A34" wp14:editId="7E2059B9">
              <wp:simplePos x="0" y="0"/>
              <wp:positionH relativeFrom="column">
                <wp:posOffset>3222321</wp:posOffset>
              </wp:positionH>
              <wp:positionV relativeFrom="paragraph">
                <wp:posOffset>-577850</wp:posOffset>
              </wp:positionV>
              <wp:extent cx="3116580" cy="301625"/>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3116580" cy="301625"/>
                      </a:xfrm>
                      <a:prstGeom prst="rect">
                        <a:avLst/>
                      </a:prstGeom>
                      <a:noFill/>
                      <a:ln w="6350">
                        <a:noFill/>
                      </a:ln>
                    </wps:spPr>
                    <wps:txbx>
                      <w:txbxContent>
                        <w:p w14:paraId="37EA291B" w14:textId="77777777" w:rsidR="004702B1" w:rsidRPr="00897277" w:rsidRDefault="004702B1" w:rsidP="004702B1">
                          <w:pPr>
                            <w:pStyle w:val="DJAGnameinheader"/>
                          </w:pPr>
                          <w:r w:rsidRPr="00897277">
                            <w:t>Department of Justice and Attorney-General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B5A34" id="Text Box 3" o:spid="_x0000_s1027" type="#_x0000_t202" style="position:absolute;margin-left:253.75pt;margin-top:-45.5pt;width:245.4pt;height: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" filled="f" stroked="f" strokeweight=".5pt">
              <v:textbox>
                <w:txbxContent>
                  <w:p w14:paraId="37EA291B" w14:textId="77777777" w:rsidR="004702B1" w:rsidRPr="00897277" w:rsidRDefault="004702B1" w:rsidP="004702B1">
                    <w:pPr>
                      <w:pStyle w:val="DJAGnameinheader"/>
                    </w:pPr>
                    <w:r w:rsidRPr="00897277">
                      <w:t>Department of Justice and Attorney-General</w:t>
                    </w:r>
                  </w:p>
                </w:txbxContent>
              </v:textbox>
            </v:shape>
          </w:pict>
        </mc:Fallback>
      </mc:AlternateConten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648B0" w14:textId="77777777" w:rsidR="004702B1" w:rsidRDefault="004702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A38F5"/>
    <w:multiLevelType w:val="hybridMultilevel"/>
    <w:tmpl w:val="861201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CAC2A3E"/>
    <w:multiLevelType w:val="hybridMultilevel"/>
    <w:tmpl w:val="7E3AEF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7E42034A"/>
    <w:multiLevelType w:val="hybridMultilevel"/>
    <w:tmpl w:val="A27873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F6A5021"/>
    <w:multiLevelType w:val="hybridMultilevel"/>
    <w:tmpl w:val="6E02AA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A1"/>
    <w:rsid w:val="00041849"/>
    <w:rsid w:val="00051F5B"/>
    <w:rsid w:val="000C192D"/>
    <w:rsid w:val="000E5C46"/>
    <w:rsid w:val="00103F26"/>
    <w:rsid w:val="00123D2F"/>
    <w:rsid w:val="001322D1"/>
    <w:rsid w:val="001B2B18"/>
    <w:rsid w:val="001C396A"/>
    <w:rsid w:val="001D370A"/>
    <w:rsid w:val="001F2E17"/>
    <w:rsid w:val="00217D47"/>
    <w:rsid w:val="002564C1"/>
    <w:rsid w:val="00276F34"/>
    <w:rsid w:val="00282C3B"/>
    <w:rsid w:val="0028559C"/>
    <w:rsid w:val="002A750A"/>
    <w:rsid w:val="00300153"/>
    <w:rsid w:val="00317381"/>
    <w:rsid w:val="003233D4"/>
    <w:rsid w:val="0033449E"/>
    <w:rsid w:val="004620E7"/>
    <w:rsid w:val="004702B1"/>
    <w:rsid w:val="004F084C"/>
    <w:rsid w:val="00521A92"/>
    <w:rsid w:val="005A1A57"/>
    <w:rsid w:val="005C6530"/>
    <w:rsid w:val="00623435"/>
    <w:rsid w:val="00630161"/>
    <w:rsid w:val="00703C8B"/>
    <w:rsid w:val="00715C4A"/>
    <w:rsid w:val="00824A51"/>
    <w:rsid w:val="00842DD4"/>
    <w:rsid w:val="00857565"/>
    <w:rsid w:val="008F38BF"/>
    <w:rsid w:val="009066AE"/>
    <w:rsid w:val="009E55F8"/>
    <w:rsid w:val="00AB621C"/>
    <w:rsid w:val="00AC455C"/>
    <w:rsid w:val="00AC767A"/>
    <w:rsid w:val="00AD28DE"/>
    <w:rsid w:val="00B275A1"/>
    <w:rsid w:val="00B63AAD"/>
    <w:rsid w:val="00C12C4E"/>
    <w:rsid w:val="00CF7DA4"/>
    <w:rsid w:val="00D95B9E"/>
    <w:rsid w:val="00DE4141"/>
    <w:rsid w:val="00E0084D"/>
    <w:rsid w:val="00E30AD8"/>
    <w:rsid w:val="00E82E42"/>
    <w:rsid w:val="00E85572"/>
    <w:rsid w:val="00F060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02411"/>
  <w15:chartTrackingRefBased/>
  <w15:docId w15:val="{ECDEBB47-BFD3-46FD-9E9D-42CE9B13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5A1"/>
    <w:pPr>
      <w:spacing w:after="120" w:line="260" w:lineRule="exact"/>
    </w:pPr>
    <w:rPr>
      <w:rFonts w:ascii="Arial" w:hAnsi="Arial"/>
      <w:sz w:val="21"/>
      <w:szCs w:val="24"/>
      <w:lang w:val="en-US"/>
    </w:rPr>
  </w:style>
  <w:style w:type="paragraph" w:styleId="Heading1">
    <w:name w:val="heading 1"/>
    <w:next w:val="Normal"/>
    <w:link w:val="Heading1Char"/>
    <w:autoRedefine/>
    <w:uiPriority w:val="9"/>
    <w:qFormat/>
    <w:rsid w:val="00041849"/>
    <w:pPr>
      <w:keepNext/>
      <w:keepLines/>
      <w:spacing w:before="360" w:after="120" w:line="340" w:lineRule="exact"/>
      <w:outlineLvl w:val="0"/>
    </w:pPr>
    <w:rPr>
      <w:rFonts w:ascii="Arial" w:eastAsiaTheme="majorEastAsia" w:hAnsi="Arial" w:cstheme="majorBidi"/>
      <w:b/>
      <w:color w:val="AF4C64"/>
      <w:sz w:val="36"/>
      <w:szCs w:val="36"/>
      <w:lang w:val="en-US"/>
    </w:rPr>
  </w:style>
  <w:style w:type="paragraph" w:styleId="Heading2">
    <w:name w:val="heading 2"/>
    <w:next w:val="Normal"/>
    <w:link w:val="Heading2Char"/>
    <w:uiPriority w:val="9"/>
    <w:unhideWhenUsed/>
    <w:qFormat/>
    <w:rsid w:val="00B275A1"/>
    <w:pPr>
      <w:keepNext/>
      <w:keepLines/>
      <w:spacing w:before="240" w:after="120" w:line="280" w:lineRule="exact"/>
      <w:outlineLvl w:val="1"/>
    </w:pPr>
    <w:rPr>
      <w:rFonts w:ascii="Arial" w:eastAsiaTheme="majorEastAsia" w:hAnsi="Arial" w:cstheme="majorBidi"/>
      <w:color w:val="AF4C64"/>
      <w:sz w:val="26"/>
      <w:szCs w:val="26"/>
      <w:lang w:val="en-US"/>
    </w:rPr>
  </w:style>
  <w:style w:type="paragraph" w:styleId="Heading3">
    <w:name w:val="heading 3"/>
    <w:basedOn w:val="Normal"/>
    <w:next w:val="Normal"/>
    <w:link w:val="Heading3Char"/>
    <w:uiPriority w:val="9"/>
    <w:semiHidden/>
    <w:unhideWhenUsed/>
    <w:qFormat/>
    <w:rsid w:val="00B275A1"/>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849"/>
    <w:rPr>
      <w:rFonts w:ascii="Arial" w:eastAsiaTheme="majorEastAsia" w:hAnsi="Arial" w:cstheme="majorBidi"/>
      <w:b/>
      <w:color w:val="AF4C64"/>
      <w:sz w:val="36"/>
      <w:szCs w:val="36"/>
      <w:lang w:val="en-US"/>
    </w:rPr>
  </w:style>
  <w:style w:type="character" w:customStyle="1" w:styleId="Heading2Char">
    <w:name w:val="Heading 2 Char"/>
    <w:basedOn w:val="DefaultParagraphFont"/>
    <w:link w:val="Heading2"/>
    <w:uiPriority w:val="9"/>
    <w:rsid w:val="00B275A1"/>
    <w:rPr>
      <w:rFonts w:ascii="Arial" w:eastAsiaTheme="majorEastAsia" w:hAnsi="Arial" w:cstheme="majorBidi"/>
      <w:color w:val="AF4C64"/>
      <w:sz w:val="26"/>
      <w:szCs w:val="26"/>
      <w:lang w:val="en-US"/>
    </w:rPr>
  </w:style>
  <w:style w:type="paragraph" w:styleId="Header">
    <w:name w:val="header"/>
    <w:basedOn w:val="Normal"/>
    <w:link w:val="HeaderChar"/>
    <w:uiPriority w:val="99"/>
    <w:unhideWhenUsed/>
    <w:rsid w:val="00B275A1"/>
    <w:pPr>
      <w:tabs>
        <w:tab w:val="center" w:pos="4513"/>
        <w:tab w:val="right" w:pos="9026"/>
      </w:tabs>
    </w:pPr>
  </w:style>
  <w:style w:type="character" w:customStyle="1" w:styleId="HeaderChar">
    <w:name w:val="Header Char"/>
    <w:basedOn w:val="DefaultParagraphFont"/>
    <w:link w:val="Header"/>
    <w:uiPriority w:val="99"/>
    <w:rsid w:val="00B275A1"/>
    <w:rPr>
      <w:rFonts w:ascii="Arial" w:hAnsi="Arial"/>
      <w:sz w:val="21"/>
      <w:szCs w:val="24"/>
      <w:lang w:val="en-US"/>
    </w:rPr>
  </w:style>
  <w:style w:type="paragraph" w:styleId="Footer">
    <w:name w:val="footer"/>
    <w:basedOn w:val="Normal"/>
    <w:link w:val="FooterChar"/>
    <w:uiPriority w:val="99"/>
    <w:unhideWhenUsed/>
    <w:rsid w:val="00B275A1"/>
    <w:pPr>
      <w:tabs>
        <w:tab w:val="center" w:pos="4513"/>
        <w:tab w:val="right" w:pos="9026"/>
      </w:tabs>
    </w:pPr>
  </w:style>
  <w:style w:type="character" w:customStyle="1" w:styleId="FooterChar">
    <w:name w:val="Footer Char"/>
    <w:basedOn w:val="DefaultParagraphFont"/>
    <w:link w:val="Footer"/>
    <w:uiPriority w:val="99"/>
    <w:rsid w:val="00B275A1"/>
    <w:rPr>
      <w:rFonts w:ascii="Arial" w:hAnsi="Arial"/>
      <w:sz w:val="21"/>
      <w:szCs w:val="24"/>
      <w:lang w:val="en-US"/>
    </w:rPr>
  </w:style>
  <w:style w:type="paragraph" w:styleId="Title">
    <w:name w:val="Title"/>
    <w:next w:val="Normal"/>
    <w:link w:val="TitleChar"/>
    <w:autoRedefine/>
    <w:uiPriority w:val="10"/>
    <w:qFormat/>
    <w:rsid w:val="00B275A1"/>
    <w:pPr>
      <w:spacing w:after="360" w:line="600" w:lineRule="exact"/>
    </w:pPr>
    <w:rPr>
      <w:rFonts w:ascii="Arial" w:eastAsiaTheme="majorEastAsia" w:hAnsi="Arial" w:cstheme="majorBidi"/>
      <w:b/>
      <w:color w:val="AF4C64"/>
      <w:spacing w:val="-10"/>
      <w:kern w:val="28"/>
      <w:sz w:val="56"/>
      <w:szCs w:val="56"/>
      <w:lang w:val="en-US"/>
    </w:rPr>
  </w:style>
  <w:style w:type="character" w:customStyle="1" w:styleId="TitleChar">
    <w:name w:val="Title Char"/>
    <w:basedOn w:val="DefaultParagraphFont"/>
    <w:link w:val="Title"/>
    <w:uiPriority w:val="10"/>
    <w:rsid w:val="00B275A1"/>
    <w:rPr>
      <w:rFonts w:ascii="Arial" w:eastAsiaTheme="majorEastAsia" w:hAnsi="Arial" w:cstheme="majorBidi"/>
      <w:b/>
      <w:color w:val="AF4C64"/>
      <w:spacing w:val="-10"/>
      <w:kern w:val="28"/>
      <w:sz w:val="56"/>
      <w:szCs w:val="56"/>
      <w:lang w:val="en-US"/>
    </w:rPr>
  </w:style>
  <w:style w:type="paragraph" w:customStyle="1" w:styleId="Contactdetailsname">
    <w:name w:val="Contact details (name)"/>
    <w:basedOn w:val="Heading3"/>
    <w:qFormat/>
    <w:rsid w:val="00B275A1"/>
    <w:pPr>
      <w:spacing w:before="400" w:after="120" w:line="280" w:lineRule="exact"/>
    </w:pPr>
    <w:rPr>
      <w:rFonts w:ascii="Calibri" w:hAnsi="Calibri"/>
      <w:b/>
      <w:color w:val="AF4C64"/>
      <w:sz w:val="22"/>
    </w:rPr>
  </w:style>
  <w:style w:type="paragraph" w:customStyle="1" w:styleId="DJAGnameinheader">
    <w:name w:val="DJAG name in header"/>
    <w:qFormat/>
    <w:rsid w:val="00B275A1"/>
    <w:pPr>
      <w:jc w:val="right"/>
    </w:pPr>
    <w:rPr>
      <w:color w:val="FFFFFF" w:themeColor="background1"/>
      <w:sz w:val="20"/>
      <w:szCs w:val="20"/>
      <w:lang w:val="en-US"/>
    </w:rPr>
  </w:style>
  <w:style w:type="paragraph" w:customStyle="1" w:styleId="Documenttypeinheader">
    <w:name w:val="Document type in header"/>
    <w:qFormat/>
    <w:rsid w:val="00B275A1"/>
    <w:rPr>
      <w:rFonts w:ascii="Arial" w:hAnsi="Arial" w:cs="Arial"/>
      <w:color w:val="FFFFFF" w:themeColor="background1"/>
      <w:sz w:val="36"/>
      <w:szCs w:val="36"/>
      <w:lang w:val="en-US"/>
    </w:rPr>
  </w:style>
  <w:style w:type="paragraph" w:styleId="FootnoteText">
    <w:name w:val="footnote text"/>
    <w:basedOn w:val="Normal"/>
    <w:link w:val="FootnoteTextChar"/>
    <w:unhideWhenUsed/>
    <w:rsid w:val="00B275A1"/>
    <w:pPr>
      <w:spacing w:after="0" w:line="240" w:lineRule="auto"/>
    </w:pPr>
    <w:rPr>
      <w:rFonts w:asciiTheme="minorHAnsi" w:hAnsiTheme="minorHAnsi"/>
      <w:sz w:val="20"/>
      <w:szCs w:val="20"/>
      <w:lang w:val="en-AU"/>
    </w:rPr>
  </w:style>
  <w:style w:type="character" w:customStyle="1" w:styleId="FootnoteTextChar">
    <w:name w:val="Footnote Text Char"/>
    <w:basedOn w:val="DefaultParagraphFont"/>
    <w:link w:val="FootnoteText"/>
    <w:rsid w:val="00B275A1"/>
    <w:rPr>
      <w:sz w:val="20"/>
      <w:szCs w:val="20"/>
    </w:rPr>
  </w:style>
  <w:style w:type="character" w:styleId="FootnoteReference">
    <w:name w:val="footnote reference"/>
    <w:basedOn w:val="DefaultParagraphFont"/>
    <w:unhideWhenUsed/>
    <w:rsid w:val="00B275A1"/>
    <w:rPr>
      <w:vertAlign w:val="superscript"/>
    </w:rPr>
  </w:style>
  <w:style w:type="paragraph" w:styleId="ListParagraph">
    <w:name w:val="List Paragraph"/>
    <w:aliases w:val="Recommendation,List Paragraph11,bullet point list,Bullet point,Bulleted Para,NFP GP Bulleted List,FooterText,numbered,Paragraphe de liste1,Bulletr List Paragraph,列出段落,列出段落1,List Paragraph2,List Paragraph21,Listeafsnit1,Parágrafo da Lista1"/>
    <w:basedOn w:val="Normal"/>
    <w:link w:val="ListParagraphChar"/>
    <w:uiPriority w:val="34"/>
    <w:qFormat/>
    <w:rsid w:val="00B275A1"/>
    <w:pPr>
      <w:spacing w:after="0" w:line="240" w:lineRule="auto"/>
      <w:ind w:left="720"/>
      <w:contextualSpacing/>
    </w:pPr>
    <w:rPr>
      <w:rFonts w:ascii="Times New Roman" w:eastAsia="Times New Roman" w:hAnsi="Times New Roman" w:cs="Times New Roman"/>
      <w:color w:val="000000"/>
      <w:sz w:val="24"/>
      <w:szCs w:val="20"/>
      <w:lang w:val="en-AU" w:eastAsia="en-AU"/>
    </w:rPr>
  </w:style>
  <w:style w:type="character" w:customStyle="1" w:styleId="ListParagraphChar">
    <w:name w:val="List Paragraph Char"/>
    <w:aliases w:val="Recommendation Char,List Paragraph11 Char,bullet point list Char,Bullet point Char,Bulleted Para Char,NFP GP Bulleted List Char,FooterText Char,numbered Char,Paragraphe de liste1 Char,Bulletr List Paragraph Char,列出段落 Char,列出段落1 Char"/>
    <w:link w:val="ListParagraph"/>
    <w:uiPriority w:val="34"/>
    <w:locked/>
    <w:rsid w:val="00B275A1"/>
    <w:rPr>
      <w:rFonts w:ascii="Times New Roman" w:eastAsia="Times New Roman" w:hAnsi="Times New Roman" w:cs="Times New Roman"/>
      <w:color w:val="000000"/>
      <w:sz w:val="24"/>
      <w:szCs w:val="20"/>
      <w:lang w:eastAsia="en-AU"/>
    </w:rPr>
  </w:style>
  <w:style w:type="character" w:customStyle="1" w:styleId="Heading3Char">
    <w:name w:val="Heading 3 Char"/>
    <w:basedOn w:val="DefaultParagraphFont"/>
    <w:link w:val="Heading3"/>
    <w:uiPriority w:val="9"/>
    <w:semiHidden/>
    <w:rsid w:val="00B275A1"/>
    <w:rPr>
      <w:rFonts w:asciiTheme="majorHAnsi" w:eastAsiaTheme="majorEastAsia" w:hAnsiTheme="majorHAnsi" w:cstheme="majorBidi"/>
      <w:color w:val="1F4D78" w:themeColor="accent1" w:themeShade="7F"/>
      <w:sz w:val="24"/>
      <w:szCs w:val="24"/>
      <w:lang w:val="en-US"/>
    </w:rPr>
  </w:style>
  <w:style w:type="character" w:styleId="Hyperlink">
    <w:name w:val="Hyperlink"/>
    <w:basedOn w:val="DefaultParagraphFont"/>
    <w:uiPriority w:val="99"/>
    <w:unhideWhenUsed/>
    <w:rsid w:val="001322D1"/>
    <w:rPr>
      <w:color w:val="0563C1" w:themeColor="hyperlink"/>
      <w:u w:val="single"/>
    </w:rPr>
  </w:style>
  <w:style w:type="character" w:styleId="CommentReference">
    <w:name w:val="annotation reference"/>
    <w:basedOn w:val="DefaultParagraphFont"/>
    <w:uiPriority w:val="99"/>
    <w:semiHidden/>
    <w:unhideWhenUsed/>
    <w:rsid w:val="00103F26"/>
    <w:rPr>
      <w:sz w:val="16"/>
      <w:szCs w:val="16"/>
    </w:rPr>
  </w:style>
  <w:style w:type="paragraph" w:styleId="CommentText">
    <w:name w:val="annotation text"/>
    <w:basedOn w:val="Normal"/>
    <w:link w:val="CommentTextChar"/>
    <w:uiPriority w:val="99"/>
    <w:semiHidden/>
    <w:unhideWhenUsed/>
    <w:rsid w:val="00103F26"/>
    <w:pPr>
      <w:spacing w:line="240" w:lineRule="auto"/>
    </w:pPr>
    <w:rPr>
      <w:sz w:val="20"/>
      <w:szCs w:val="20"/>
    </w:rPr>
  </w:style>
  <w:style w:type="character" w:customStyle="1" w:styleId="CommentTextChar">
    <w:name w:val="Comment Text Char"/>
    <w:basedOn w:val="DefaultParagraphFont"/>
    <w:link w:val="CommentText"/>
    <w:uiPriority w:val="99"/>
    <w:semiHidden/>
    <w:rsid w:val="00103F26"/>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103F26"/>
    <w:rPr>
      <w:b/>
      <w:bCs/>
    </w:rPr>
  </w:style>
  <w:style w:type="character" w:customStyle="1" w:styleId="CommentSubjectChar">
    <w:name w:val="Comment Subject Char"/>
    <w:basedOn w:val="CommentTextChar"/>
    <w:link w:val="CommentSubject"/>
    <w:uiPriority w:val="99"/>
    <w:semiHidden/>
    <w:rsid w:val="00103F26"/>
    <w:rPr>
      <w:rFonts w:ascii="Arial" w:hAnsi="Arial"/>
      <w:b/>
      <w:bCs/>
      <w:sz w:val="20"/>
      <w:szCs w:val="20"/>
      <w:lang w:val="en-US"/>
    </w:rPr>
  </w:style>
  <w:style w:type="paragraph" w:styleId="BalloonText">
    <w:name w:val="Balloon Text"/>
    <w:basedOn w:val="Normal"/>
    <w:link w:val="BalloonTextChar"/>
    <w:uiPriority w:val="99"/>
    <w:semiHidden/>
    <w:unhideWhenUsed/>
    <w:rsid w:val="00103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F2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file:///C:\Users\woodcj\Desktop\www.GetInvolved.qld.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hildsexualoffencesreform@justice.qld.gov.a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hildabuseroyalcommission.gov.au/media-releases/report-criminal-justice-release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1AD1-9109-45B4-9637-68EE9BEC6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Samios</dc:creator>
  <cp:keywords/>
  <dc:description/>
  <cp:lastModifiedBy>Carly Wood</cp:lastModifiedBy>
  <cp:revision>2</cp:revision>
  <cp:lastPrinted>2019-08-19T08:02:00Z</cp:lastPrinted>
  <dcterms:created xsi:type="dcterms:W3CDTF">2019-08-22T03:21:00Z</dcterms:created>
  <dcterms:modified xsi:type="dcterms:W3CDTF">2019-08-22T03:21:00Z</dcterms:modified>
</cp:coreProperties>
</file>