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3DC5B" w14:textId="77777777" w:rsidR="006A3637" w:rsidRDefault="006A3637" w:rsidP="006A3637">
      <w:pPr>
        <w:sectPr w:rsidR="006A3637" w:rsidSect="006A3637">
          <w:footerReference w:type="default" r:id="rId8"/>
          <w:headerReference w:type="first" r:id="rId9"/>
          <w:footerReference w:type="first" r:id="rId10"/>
          <w:pgSz w:w="11900" w:h="16840"/>
          <w:pgMar w:top="1440" w:right="1021" w:bottom="1440" w:left="1021" w:header="1531" w:footer="1020" w:gutter="0"/>
          <w:cols w:num="2" w:space="708"/>
          <w:titlePg/>
          <w:docGrid w:linePitch="360"/>
        </w:sectPr>
      </w:pPr>
    </w:p>
    <w:p w14:paraId="134993E9" w14:textId="13688A4C" w:rsidR="006A3637" w:rsidRPr="006F3414" w:rsidRDefault="006F3414" w:rsidP="006F3414">
      <w:pPr>
        <w:pStyle w:val="Title"/>
        <w:sectPr w:rsidR="006A3637" w:rsidRPr="006F3414" w:rsidSect="00D25540">
          <w:type w:val="continuous"/>
          <w:pgSz w:w="11900" w:h="16840"/>
          <w:pgMar w:top="1440" w:right="1021" w:bottom="1440" w:left="1021" w:header="709" w:footer="709" w:gutter="0"/>
          <w:cols w:space="708"/>
          <w:titlePg/>
          <w:docGrid w:linePitch="360"/>
        </w:sectPr>
      </w:pPr>
      <w:r w:rsidRPr="006F3414">
        <w:t>I</w:t>
      </w:r>
      <w:r w:rsidR="00D63DFB" w:rsidRPr="006F3414">
        <w:t>nstitutional child sexual abuse</w:t>
      </w:r>
      <w:r w:rsidRPr="006F3414">
        <w:t xml:space="preserve"> offences</w:t>
      </w:r>
      <w:r w:rsidR="00D87DC8" w:rsidRPr="006F3414">
        <w:t>:</w:t>
      </w:r>
      <w:r>
        <w:t xml:space="preserve"> f</w:t>
      </w:r>
      <w:r w:rsidR="00D63DFB" w:rsidRPr="006F3414">
        <w:t xml:space="preserve">ailure to report </w:t>
      </w:r>
      <w:r w:rsidR="00D87DC8" w:rsidRPr="006F3414">
        <w:t xml:space="preserve">and </w:t>
      </w:r>
      <w:r w:rsidR="00D63DFB" w:rsidRPr="006F3414">
        <w:t xml:space="preserve">failure </w:t>
      </w:r>
      <w:r w:rsidR="00D87DC8" w:rsidRPr="006F3414">
        <w:t xml:space="preserve">to protect </w:t>
      </w:r>
    </w:p>
    <w:p w14:paraId="08BC0712" w14:textId="23483C00" w:rsidR="00FD5436" w:rsidRPr="00F11CA4" w:rsidRDefault="00FD5436" w:rsidP="00FD5436">
      <w:pPr>
        <w:keepLines/>
        <w:spacing w:before="120" w:after="0" w:line="240" w:lineRule="auto"/>
        <w:jc w:val="both"/>
        <w:rPr>
          <w:rFonts w:ascii="Arial" w:hAnsi="Arial" w:cs="Arial"/>
          <w:sz w:val="21"/>
          <w:szCs w:val="21"/>
        </w:rPr>
      </w:pPr>
      <w:r>
        <w:rPr>
          <w:rFonts w:ascii="Arial" w:hAnsi="Arial" w:cs="Arial"/>
          <w:sz w:val="21"/>
          <w:szCs w:val="21"/>
        </w:rPr>
        <w:t xml:space="preserve">The </w:t>
      </w:r>
      <w:r w:rsidR="00426C13">
        <w:rPr>
          <w:rFonts w:ascii="Arial" w:hAnsi="Arial" w:cs="Arial"/>
          <w:sz w:val="21"/>
          <w:szCs w:val="21"/>
        </w:rPr>
        <w:t xml:space="preserve">Consultation Draft of the </w:t>
      </w:r>
      <w:r w:rsidRPr="00C95257">
        <w:rPr>
          <w:rFonts w:ascii="Arial" w:hAnsi="Arial" w:cs="Arial"/>
          <w:sz w:val="21"/>
          <w:szCs w:val="21"/>
        </w:rPr>
        <w:t xml:space="preserve">Criminal </w:t>
      </w:r>
      <w:r w:rsidR="00213FEB">
        <w:rPr>
          <w:rFonts w:ascii="Arial" w:hAnsi="Arial" w:cs="Arial"/>
          <w:sz w:val="21"/>
          <w:szCs w:val="21"/>
        </w:rPr>
        <w:t xml:space="preserve">Code </w:t>
      </w:r>
      <w:r w:rsidRPr="00C95257">
        <w:rPr>
          <w:rFonts w:ascii="Arial" w:hAnsi="Arial" w:cs="Arial"/>
          <w:sz w:val="21"/>
          <w:szCs w:val="21"/>
        </w:rPr>
        <w:t>(</w:t>
      </w:r>
      <w:r w:rsidR="00213FEB">
        <w:rPr>
          <w:rFonts w:ascii="Arial" w:hAnsi="Arial" w:cs="Arial"/>
          <w:sz w:val="21"/>
          <w:szCs w:val="21"/>
        </w:rPr>
        <w:t xml:space="preserve">Child </w:t>
      </w:r>
      <w:r w:rsidRPr="00C95257">
        <w:rPr>
          <w:rFonts w:ascii="Arial" w:hAnsi="Arial" w:cs="Arial"/>
          <w:sz w:val="21"/>
          <w:szCs w:val="21"/>
        </w:rPr>
        <w:t xml:space="preserve">Sexual Offences Reform) </w:t>
      </w:r>
      <w:r w:rsidR="00213FEB">
        <w:rPr>
          <w:rFonts w:ascii="Arial" w:hAnsi="Arial" w:cs="Arial"/>
          <w:sz w:val="21"/>
          <w:szCs w:val="21"/>
        </w:rPr>
        <w:t xml:space="preserve">and Other Legislation </w:t>
      </w:r>
      <w:r w:rsidRPr="00C95257">
        <w:rPr>
          <w:rFonts w:ascii="Arial" w:hAnsi="Arial" w:cs="Arial"/>
          <w:sz w:val="21"/>
          <w:szCs w:val="21"/>
        </w:rPr>
        <w:t>Amendment Bill 2019 (the</w:t>
      </w:r>
      <w:r w:rsidR="007645CD">
        <w:rPr>
          <w:rFonts w:ascii="Arial" w:hAnsi="Arial" w:cs="Arial"/>
          <w:sz w:val="21"/>
          <w:szCs w:val="21"/>
        </w:rPr>
        <w:t xml:space="preserve"> Consultation Draft</w:t>
      </w:r>
      <w:r w:rsidRPr="00C95257">
        <w:rPr>
          <w:rFonts w:ascii="Arial" w:hAnsi="Arial" w:cs="Arial"/>
          <w:sz w:val="21"/>
          <w:szCs w:val="21"/>
        </w:rPr>
        <w:t xml:space="preserve"> Bill)</w:t>
      </w:r>
      <w:r>
        <w:rPr>
          <w:rFonts w:ascii="Arial" w:hAnsi="Arial" w:cs="Arial"/>
          <w:sz w:val="21"/>
          <w:szCs w:val="21"/>
        </w:rPr>
        <w:t xml:space="preserve"> </w:t>
      </w:r>
      <w:r w:rsidR="00116E26">
        <w:rPr>
          <w:rFonts w:ascii="Arial" w:hAnsi="Arial" w:cs="Arial"/>
          <w:sz w:val="21"/>
          <w:szCs w:val="21"/>
        </w:rPr>
        <w:t xml:space="preserve">includes amendments to create </w:t>
      </w:r>
      <w:r w:rsidRPr="007645CD">
        <w:rPr>
          <w:rFonts w:ascii="Arial" w:hAnsi="Arial" w:cs="Arial"/>
          <w:b/>
          <w:sz w:val="21"/>
          <w:szCs w:val="21"/>
        </w:rPr>
        <w:t>new third party offences</w:t>
      </w:r>
      <w:r>
        <w:rPr>
          <w:rFonts w:ascii="Arial" w:hAnsi="Arial" w:cs="Arial"/>
          <w:sz w:val="21"/>
          <w:szCs w:val="21"/>
        </w:rPr>
        <w:t xml:space="preserve"> in relation to </w:t>
      </w:r>
      <w:r w:rsidR="00116E26">
        <w:rPr>
          <w:rFonts w:ascii="Arial" w:hAnsi="Arial" w:cs="Arial"/>
          <w:sz w:val="21"/>
          <w:szCs w:val="21"/>
        </w:rPr>
        <w:t xml:space="preserve">institutional </w:t>
      </w:r>
      <w:r>
        <w:rPr>
          <w:rFonts w:ascii="Arial" w:hAnsi="Arial" w:cs="Arial"/>
          <w:sz w:val="21"/>
          <w:szCs w:val="21"/>
        </w:rPr>
        <w:t>child sexual abuse.</w:t>
      </w:r>
    </w:p>
    <w:p w14:paraId="30680493" w14:textId="6800538B" w:rsidR="006A3637" w:rsidRPr="00CF7A41" w:rsidRDefault="006A3637" w:rsidP="006A3637">
      <w:pPr>
        <w:pStyle w:val="Heading1"/>
      </w:pPr>
      <w:r>
        <w:t xml:space="preserve">What did the Royal Commission </w:t>
      </w:r>
      <w:r w:rsidR="007645CD">
        <w:t>r</w:t>
      </w:r>
      <w:r>
        <w:t>ecommend?</w:t>
      </w:r>
    </w:p>
    <w:p w14:paraId="21843660" w14:textId="5A137484" w:rsidR="00116E26" w:rsidRDefault="006A3637" w:rsidP="00780BF9">
      <w:pPr>
        <w:jc w:val="both"/>
        <w:rPr>
          <w:rFonts w:ascii="Arial" w:hAnsi="Arial" w:cs="Arial"/>
          <w:sz w:val="21"/>
          <w:szCs w:val="21"/>
        </w:rPr>
      </w:pPr>
      <w:r w:rsidRPr="00D63DFB">
        <w:rPr>
          <w:rFonts w:ascii="Arial" w:hAnsi="Arial" w:cs="Arial"/>
          <w:sz w:val="21"/>
          <w:szCs w:val="21"/>
        </w:rPr>
        <w:t>The Royal Commission into Institut</w:t>
      </w:r>
      <w:r w:rsidR="003D596D">
        <w:rPr>
          <w:rFonts w:ascii="Arial" w:hAnsi="Arial" w:cs="Arial"/>
          <w:sz w:val="21"/>
          <w:szCs w:val="21"/>
        </w:rPr>
        <w:t xml:space="preserve">ional Responses to </w:t>
      </w:r>
      <w:r w:rsidR="007645CD">
        <w:rPr>
          <w:rFonts w:ascii="Arial" w:hAnsi="Arial" w:cs="Arial"/>
          <w:sz w:val="21"/>
          <w:szCs w:val="21"/>
        </w:rPr>
        <w:t xml:space="preserve">Child </w:t>
      </w:r>
      <w:r w:rsidR="003D596D">
        <w:rPr>
          <w:rFonts w:ascii="Arial" w:hAnsi="Arial" w:cs="Arial"/>
          <w:sz w:val="21"/>
          <w:szCs w:val="21"/>
        </w:rPr>
        <w:t>Sexual Abuse</w:t>
      </w:r>
      <w:r w:rsidR="007645CD">
        <w:rPr>
          <w:rFonts w:ascii="Arial" w:hAnsi="Arial" w:cs="Arial"/>
          <w:sz w:val="21"/>
          <w:szCs w:val="21"/>
        </w:rPr>
        <w:t xml:space="preserve"> (Royal Commission)</w:t>
      </w:r>
      <w:r w:rsidRPr="00D63DFB">
        <w:rPr>
          <w:rFonts w:ascii="Arial" w:hAnsi="Arial" w:cs="Arial"/>
          <w:sz w:val="21"/>
          <w:szCs w:val="21"/>
        </w:rPr>
        <w:t xml:space="preserve"> </w:t>
      </w:r>
      <w:r w:rsidRPr="00563B95">
        <w:rPr>
          <w:rFonts w:ascii="Arial" w:hAnsi="Arial" w:cs="Arial"/>
          <w:sz w:val="21"/>
          <w:szCs w:val="21"/>
        </w:rPr>
        <w:t>Criminal Justice Report</w:t>
      </w:r>
      <w:r w:rsidRPr="00D63DFB">
        <w:rPr>
          <w:rFonts w:ascii="Arial" w:hAnsi="Arial" w:cs="Arial"/>
          <w:sz w:val="21"/>
          <w:szCs w:val="21"/>
        </w:rPr>
        <w:t xml:space="preserve"> recommended that </w:t>
      </w:r>
      <w:r w:rsidR="00C1796D">
        <w:rPr>
          <w:rFonts w:ascii="Arial" w:hAnsi="Arial" w:cs="Arial"/>
          <w:sz w:val="21"/>
          <w:szCs w:val="21"/>
        </w:rPr>
        <w:t>each state and territory government</w:t>
      </w:r>
      <w:r w:rsidR="00C1796D" w:rsidRPr="00D63DFB">
        <w:rPr>
          <w:rFonts w:ascii="Arial" w:hAnsi="Arial" w:cs="Arial"/>
          <w:sz w:val="21"/>
          <w:szCs w:val="21"/>
        </w:rPr>
        <w:t xml:space="preserve"> </w:t>
      </w:r>
      <w:r w:rsidR="000E1422">
        <w:rPr>
          <w:rFonts w:ascii="Arial" w:hAnsi="Arial" w:cs="Arial"/>
          <w:sz w:val="21"/>
          <w:szCs w:val="21"/>
        </w:rPr>
        <w:t>introduce legislation to create a criminal offence of failure to report targeted at child sexual abuse in an institutional context</w:t>
      </w:r>
      <w:r w:rsidRPr="00D63DFB">
        <w:rPr>
          <w:rStyle w:val="FootnoteReference"/>
          <w:rFonts w:ascii="Arial" w:hAnsi="Arial" w:cs="Arial"/>
          <w:sz w:val="21"/>
          <w:szCs w:val="21"/>
        </w:rPr>
        <w:footnoteReference w:id="1"/>
      </w:r>
      <w:r w:rsidR="00116E26">
        <w:rPr>
          <w:rFonts w:ascii="Arial" w:hAnsi="Arial" w:cs="Arial"/>
          <w:sz w:val="21"/>
          <w:szCs w:val="21"/>
        </w:rPr>
        <w:t xml:space="preserve"> which specifically addresses religious confessions</w:t>
      </w:r>
      <w:r w:rsidR="00E11BAA">
        <w:rPr>
          <w:rFonts w:ascii="Arial" w:hAnsi="Arial" w:cs="Arial"/>
          <w:sz w:val="21"/>
          <w:szCs w:val="21"/>
        </w:rPr>
        <w:t>, including by applying to information disclosed in or in connection with a religious confession and exclud</w:t>
      </w:r>
      <w:r w:rsidR="00577E5A">
        <w:rPr>
          <w:rFonts w:ascii="Arial" w:hAnsi="Arial" w:cs="Arial"/>
          <w:sz w:val="21"/>
          <w:szCs w:val="21"/>
        </w:rPr>
        <w:t>ing</w:t>
      </w:r>
      <w:r w:rsidR="00E11BAA">
        <w:rPr>
          <w:rFonts w:ascii="Arial" w:hAnsi="Arial" w:cs="Arial"/>
          <w:sz w:val="21"/>
          <w:szCs w:val="21"/>
        </w:rPr>
        <w:t xml:space="preserve"> a</w:t>
      </w:r>
      <w:r w:rsidR="00577E5A">
        <w:rPr>
          <w:rFonts w:ascii="Arial" w:hAnsi="Arial" w:cs="Arial"/>
          <w:sz w:val="21"/>
          <w:szCs w:val="21"/>
        </w:rPr>
        <w:t>n</w:t>
      </w:r>
      <w:r w:rsidR="00E11BAA">
        <w:rPr>
          <w:rFonts w:ascii="Arial" w:hAnsi="Arial" w:cs="Arial"/>
          <w:sz w:val="21"/>
          <w:szCs w:val="21"/>
        </w:rPr>
        <w:t>y existing excuse, protection or priv</w:t>
      </w:r>
      <w:r w:rsidR="00577E5A">
        <w:rPr>
          <w:rFonts w:ascii="Arial" w:hAnsi="Arial" w:cs="Arial"/>
          <w:sz w:val="21"/>
          <w:szCs w:val="21"/>
        </w:rPr>
        <w:t>i</w:t>
      </w:r>
      <w:r w:rsidR="00E11BAA">
        <w:rPr>
          <w:rFonts w:ascii="Arial" w:hAnsi="Arial" w:cs="Arial"/>
          <w:sz w:val="21"/>
          <w:szCs w:val="21"/>
        </w:rPr>
        <w:t>l</w:t>
      </w:r>
      <w:r w:rsidR="00577E5A">
        <w:rPr>
          <w:rFonts w:ascii="Arial" w:hAnsi="Arial" w:cs="Arial"/>
          <w:sz w:val="21"/>
          <w:szCs w:val="21"/>
        </w:rPr>
        <w:t>e</w:t>
      </w:r>
      <w:r w:rsidR="00E11BAA">
        <w:rPr>
          <w:rFonts w:ascii="Arial" w:hAnsi="Arial" w:cs="Arial"/>
          <w:sz w:val="21"/>
          <w:szCs w:val="21"/>
        </w:rPr>
        <w:t>ge in relation to religious confessions to the extent necessary to achieve this objective</w:t>
      </w:r>
      <w:r w:rsidR="000E1422">
        <w:rPr>
          <w:rFonts w:ascii="Arial" w:hAnsi="Arial" w:cs="Arial"/>
          <w:sz w:val="21"/>
          <w:szCs w:val="21"/>
        </w:rPr>
        <w:t>.</w:t>
      </w:r>
      <w:r w:rsidR="00116E26">
        <w:rPr>
          <w:rStyle w:val="FootnoteReference"/>
          <w:rFonts w:ascii="Arial" w:hAnsi="Arial" w:cs="Arial"/>
          <w:sz w:val="21"/>
          <w:szCs w:val="21"/>
        </w:rPr>
        <w:footnoteReference w:id="2"/>
      </w:r>
      <w:r w:rsidR="00F33586">
        <w:rPr>
          <w:rFonts w:ascii="Arial" w:hAnsi="Arial" w:cs="Arial"/>
          <w:sz w:val="21"/>
          <w:szCs w:val="21"/>
        </w:rPr>
        <w:t xml:space="preserve"> </w:t>
      </w:r>
    </w:p>
    <w:p w14:paraId="6826B27A" w14:textId="09296974" w:rsidR="006A3637" w:rsidRPr="00D63DFB" w:rsidRDefault="00C1796D" w:rsidP="00780BF9">
      <w:pPr>
        <w:jc w:val="both"/>
        <w:rPr>
          <w:rFonts w:ascii="Arial" w:hAnsi="Arial" w:cs="Arial"/>
          <w:sz w:val="21"/>
          <w:szCs w:val="21"/>
        </w:rPr>
      </w:pPr>
      <w:r>
        <w:rPr>
          <w:rFonts w:ascii="Arial" w:hAnsi="Arial" w:cs="Arial"/>
          <w:sz w:val="21"/>
          <w:szCs w:val="21"/>
        </w:rPr>
        <w:t>The Royal Commission also recommended t</w:t>
      </w:r>
      <w:r w:rsidR="00690EC2">
        <w:rPr>
          <w:rFonts w:ascii="Arial" w:hAnsi="Arial" w:cs="Arial"/>
          <w:sz w:val="21"/>
          <w:szCs w:val="21"/>
        </w:rPr>
        <w:t xml:space="preserve">he introduction </w:t>
      </w:r>
      <w:r>
        <w:rPr>
          <w:rFonts w:ascii="Arial" w:hAnsi="Arial" w:cs="Arial"/>
          <w:sz w:val="21"/>
          <w:szCs w:val="21"/>
        </w:rPr>
        <w:t>of legislation to create a criminal</w:t>
      </w:r>
      <w:r w:rsidR="00690EC2">
        <w:rPr>
          <w:rFonts w:ascii="Arial" w:hAnsi="Arial" w:cs="Arial"/>
          <w:sz w:val="21"/>
          <w:szCs w:val="21"/>
        </w:rPr>
        <w:t xml:space="preserve"> offence of failure to protect a child </w:t>
      </w:r>
      <w:r>
        <w:rPr>
          <w:rFonts w:ascii="Arial" w:hAnsi="Arial" w:cs="Arial"/>
          <w:sz w:val="21"/>
          <w:szCs w:val="21"/>
        </w:rPr>
        <w:t>within a relevant institution from a substantial risk of</w:t>
      </w:r>
      <w:r w:rsidR="00690EC2">
        <w:rPr>
          <w:rFonts w:ascii="Arial" w:hAnsi="Arial" w:cs="Arial"/>
          <w:sz w:val="21"/>
          <w:szCs w:val="21"/>
        </w:rPr>
        <w:t xml:space="preserve"> sexual abuse</w:t>
      </w:r>
      <w:r>
        <w:rPr>
          <w:rFonts w:ascii="Arial" w:hAnsi="Arial" w:cs="Arial"/>
          <w:sz w:val="21"/>
          <w:szCs w:val="21"/>
        </w:rPr>
        <w:t xml:space="preserve"> by an adult associated with the institution.</w:t>
      </w:r>
      <w:r w:rsidR="00AB3668">
        <w:rPr>
          <w:rStyle w:val="FootnoteReference"/>
          <w:rFonts w:ascii="Arial" w:hAnsi="Arial" w:cs="Arial"/>
          <w:sz w:val="21"/>
          <w:szCs w:val="21"/>
        </w:rPr>
        <w:footnoteReference w:id="3"/>
      </w:r>
      <w:r w:rsidR="007D2EC5">
        <w:rPr>
          <w:rFonts w:ascii="Arial" w:hAnsi="Arial" w:cs="Arial"/>
          <w:sz w:val="21"/>
          <w:szCs w:val="21"/>
        </w:rPr>
        <w:t xml:space="preserve"> </w:t>
      </w:r>
      <w:r w:rsidR="00584D79">
        <w:rPr>
          <w:rFonts w:ascii="Arial" w:hAnsi="Arial" w:cs="Arial"/>
          <w:sz w:val="21"/>
          <w:szCs w:val="21"/>
        </w:rPr>
        <w:t>The Royal Commission considered this offence necessary as it is not</w:t>
      </w:r>
      <w:r w:rsidR="003138BE">
        <w:rPr>
          <w:rFonts w:ascii="Arial" w:hAnsi="Arial" w:cs="Arial"/>
          <w:sz w:val="21"/>
          <w:szCs w:val="21"/>
        </w:rPr>
        <w:t>,</w:t>
      </w:r>
      <w:r w:rsidR="00584D79">
        <w:rPr>
          <w:rFonts w:ascii="Arial" w:hAnsi="Arial" w:cs="Arial"/>
          <w:sz w:val="21"/>
          <w:szCs w:val="21"/>
        </w:rPr>
        <w:t xml:space="preserve"> and should not be thought to be</w:t>
      </w:r>
      <w:r w:rsidR="003138BE">
        <w:rPr>
          <w:rFonts w:ascii="Arial" w:hAnsi="Arial" w:cs="Arial"/>
          <w:sz w:val="21"/>
          <w:szCs w:val="21"/>
        </w:rPr>
        <w:t>,</w:t>
      </w:r>
      <w:r w:rsidR="00584D79">
        <w:rPr>
          <w:rFonts w:ascii="Arial" w:hAnsi="Arial" w:cs="Arial"/>
          <w:sz w:val="21"/>
          <w:szCs w:val="21"/>
        </w:rPr>
        <w:t xml:space="preserve"> sufficient to wait until abuse occurs </w:t>
      </w:r>
      <w:r w:rsidR="00213FEB">
        <w:rPr>
          <w:rFonts w:ascii="Arial" w:hAnsi="Arial" w:cs="Arial"/>
          <w:sz w:val="21"/>
          <w:szCs w:val="21"/>
        </w:rPr>
        <w:t xml:space="preserve">before the </w:t>
      </w:r>
      <w:r w:rsidR="00584D79">
        <w:rPr>
          <w:rFonts w:ascii="Arial" w:hAnsi="Arial" w:cs="Arial"/>
          <w:sz w:val="21"/>
          <w:szCs w:val="21"/>
        </w:rPr>
        <w:t>police</w:t>
      </w:r>
      <w:r w:rsidR="00213FEB">
        <w:rPr>
          <w:rFonts w:ascii="Arial" w:hAnsi="Arial" w:cs="Arial"/>
          <w:sz w:val="21"/>
          <w:szCs w:val="21"/>
        </w:rPr>
        <w:t xml:space="preserve"> are informed</w:t>
      </w:r>
      <w:r w:rsidR="00690EC2">
        <w:rPr>
          <w:rFonts w:ascii="Arial" w:hAnsi="Arial" w:cs="Arial"/>
          <w:sz w:val="21"/>
          <w:szCs w:val="21"/>
        </w:rPr>
        <w:t>.</w:t>
      </w:r>
      <w:r w:rsidR="00690EC2">
        <w:rPr>
          <w:rStyle w:val="FootnoteReference"/>
          <w:rFonts w:ascii="Arial" w:hAnsi="Arial" w:cs="Arial"/>
          <w:sz w:val="21"/>
          <w:szCs w:val="21"/>
        </w:rPr>
        <w:footnoteReference w:id="4"/>
      </w:r>
      <w:r w:rsidR="00213FEB">
        <w:rPr>
          <w:rFonts w:ascii="Arial" w:hAnsi="Arial" w:cs="Arial"/>
          <w:sz w:val="21"/>
          <w:szCs w:val="21"/>
        </w:rPr>
        <w:t xml:space="preserve"> The Royal Commission intended that the failure to protect offence reinforce the importance of prevention and attached appropriate criminal consequences to serious failures to take available steps to prevent abuse.</w:t>
      </w:r>
    </w:p>
    <w:p w14:paraId="2F99D59A" w14:textId="77777777" w:rsidR="006A3637" w:rsidRPr="0015442D" w:rsidRDefault="006A3637" w:rsidP="006A3637">
      <w:pPr>
        <w:pStyle w:val="Heading1"/>
      </w:pPr>
      <w:r>
        <w:t>What is Queensland proposing?</w:t>
      </w:r>
    </w:p>
    <w:p w14:paraId="3BA44246" w14:textId="4985F6B5" w:rsidR="006A3637" w:rsidRDefault="006A3637" w:rsidP="006A3637">
      <w:pPr>
        <w:pStyle w:val="Heading2"/>
      </w:pPr>
      <w:r>
        <w:t xml:space="preserve">New </w:t>
      </w:r>
      <w:r w:rsidR="00687732">
        <w:t>o</w:t>
      </w:r>
      <w:r>
        <w:t>ffence</w:t>
      </w:r>
      <w:r w:rsidR="00690EC2">
        <w:t xml:space="preserve"> of failure to report</w:t>
      </w:r>
    </w:p>
    <w:p w14:paraId="278F3C4A" w14:textId="75AD5B51" w:rsidR="006A3637" w:rsidRPr="00D63DFB" w:rsidRDefault="00F33586" w:rsidP="004508C0">
      <w:pPr>
        <w:jc w:val="both"/>
        <w:rPr>
          <w:rFonts w:ascii="Arial" w:hAnsi="Arial" w:cs="Arial"/>
          <w:sz w:val="21"/>
          <w:szCs w:val="21"/>
        </w:rPr>
      </w:pPr>
      <w:r>
        <w:rPr>
          <w:rFonts w:ascii="Arial" w:hAnsi="Arial" w:cs="Arial"/>
          <w:sz w:val="21"/>
          <w:szCs w:val="21"/>
        </w:rPr>
        <w:t xml:space="preserve">The </w:t>
      </w:r>
      <w:r w:rsidR="00213FEB">
        <w:rPr>
          <w:rFonts w:ascii="Arial" w:hAnsi="Arial" w:cs="Arial"/>
          <w:sz w:val="21"/>
          <w:szCs w:val="21"/>
        </w:rPr>
        <w:t xml:space="preserve">Consultation Draft Bill contains amendments to </w:t>
      </w:r>
      <w:r w:rsidR="00687732">
        <w:rPr>
          <w:rFonts w:ascii="Arial" w:hAnsi="Arial" w:cs="Arial"/>
          <w:sz w:val="21"/>
          <w:szCs w:val="21"/>
        </w:rPr>
        <w:t xml:space="preserve">introduce </w:t>
      </w:r>
      <w:r w:rsidR="00814F05">
        <w:rPr>
          <w:rFonts w:ascii="Arial" w:hAnsi="Arial" w:cs="Arial"/>
          <w:sz w:val="21"/>
          <w:szCs w:val="21"/>
        </w:rPr>
        <w:t xml:space="preserve">a new offence in the Criminal Code </w:t>
      </w:r>
      <w:r w:rsidR="004508C0">
        <w:rPr>
          <w:rFonts w:ascii="Arial" w:hAnsi="Arial" w:cs="Arial"/>
          <w:sz w:val="21"/>
          <w:szCs w:val="21"/>
        </w:rPr>
        <w:t xml:space="preserve">of </w:t>
      </w:r>
      <w:r w:rsidR="000643AF" w:rsidRPr="000643AF">
        <w:rPr>
          <w:rFonts w:ascii="Arial" w:hAnsi="Arial" w:cs="Arial"/>
          <w:i/>
          <w:sz w:val="21"/>
          <w:szCs w:val="21"/>
        </w:rPr>
        <w:t>F</w:t>
      </w:r>
      <w:r w:rsidR="004508C0" w:rsidRPr="000643AF">
        <w:rPr>
          <w:rFonts w:ascii="Arial" w:hAnsi="Arial" w:cs="Arial"/>
          <w:i/>
          <w:sz w:val="21"/>
          <w:szCs w:val="21"/>
        </w:rPr>
        <w:t>ailure to report belief of offence of sexual nature committed in relation to child</w:t>
      </w:r>
      <w:r w:rsidR="006A3637" w:rsidRPr="00D63DFB">
        <w:rPr>
          <w:rFonts w:ascii="Arial" w:hAnsi="Arial" w:cs="Arial"/>
          <w:sz w:val="21"/>
          <w:szCs w:val="21"/>
        </w:rPr>
        <w:t xml:space="preserve"> to address the unique difficulties of bringing to light child abuse in institutional settings. </w:t>
      </w:r>
    </w:p>
    <w:p w14:paraId="0F2CD240" w14:textId="273EB3E9" w:rsidR="006C58C9" w:rsidRDefault="006A3637" w:rsidP="00CB1FE7">
      <w:pPr>
        <w:spacing w:after="0"/>
        <w:jc w:val="both"/>
        <w:rPr>
          <w:rFonts w:ascii="Arial" w:hAnsi="Arial" w:cs="Arial"/>
          <w:sz w:val="21"/>
          <w:szCs w:val="21"/>
        </w:rPr>
      </w:pPr>
      <w:r w:rsidRPr="00D63DFB">
        <w:rPr>
          <w:rFonts w:ascii="Arial" w:hAnsi="Arial" w:cs="Arial"/>
          <w:sz w:val="21"/>
          <w:szCs w:val="21"/>
        </w:rPr>
        <w:t xml:space="preserve">The new offence will apply to </w:t>
      </w:r>
      <w:r w:rsidR="004508C0">
        <w:rPr>
          <w:rFonts w:ascii="Arial" w:hAnsi="Arial" w:cs="Arial"/>
          <w:sz w:val="21"/>
          <w:szCs w:val="21"/>
        </w:rPr>
        <w:t xml:space="preserve">an </w:t>
      </w:r>
      <w:r w:rsidR="004508C0" w:rsidRPr="00CB1FE7">
        <w:rPr>
          <w:rFonts w:ascii="Arial" w:hAnsi="Arial" w:cs="Arial"/>
          <w:b/>
          <w:sz w:val="21"/>
          <w:szCs w:val="21"/>
        </w:rPr>
        <w:t>accountable person</w:t>
      </w:r>
      <w:r w:rsidR="004508C0">
        <w:rPr>
          <w:rFonts w:ascii="Arial" w:hAnsi="Arial" w:cs="Arial"/>
          <w:b/>
          <w:sz w:val="21"/>
          <w:szCs w:val="21"/>
        </w:rPr>
        <w:t xml:space="preserve">, </w:t>
      </w:r>
      <w:r w:rsidR="004508C0" w:rsidRPr="00CB1FE7">
        <w:rPr>
          <w:rFonts w:ascii="Arial" w:hAnsi="Arial" w:cs="Arial"/>
          <w:sz w:val="21"/>
          <w:szCs w:val="21"/>
        </w:rPr>
        <w:t>that is</w:t>
      </w:r>
      <w:r w:rsidR="004508C0">
        <w:rPr>
          <w:rFonts w:ascii="Arial" w:hAnsi="Arial" w:cs="Arial"/>
          <w:sz w:val="21"/>
          <w:szCs w:val="21"/>
        </w:rPr>
        <w:t>,</w:t>
      </w:r>
      <w:r w:rsidR="004508C0" w:rsidRPr="00CB1FE7">
        <w:rPr>
          <w:rFonts w:ascii="Arial" w:hAnsi="Arial" w:cs="Arial"/>
          <w:sz w:val="21"/>
          <w:szCs w:val="21"/>
        </w:rPr>
        <w:t xml:space="preserve"> an</w:t>
      </w:r>
      <w:r w:rsidR="004508C0" w:rsidRPr="00CB1FE7">
        <w:rPr>
          <w:rFonts w:ascii="Arial" w:hAnsi="Arial" w:cs="Arial"/>
          <w:b/>
          <w:sz w:val="21"/>
          <w:szCs w:val="21"/>
        </w:rPr>
        <w:t xml:space="preserve"> </w:t>
      </w:r>
      <w:r w:rsidRPr="00CB1FE7">
        <w:rPr>
          <w:rFonts w:ascii="Arial" w:hAnsi="Arial" w:cs="Arial"/>
          <w:sz w:val="21"/>
          <w:szCs w:val="21"/>
        </w:rPr>
        <w:t xml:space="preserve">adult </w:t>
      </w:r>
      <w:r w:rsidRPr="003138BE">
        <w:rPr>
          <w:rFonts w:ascii="Arial" w:hAnsi="Arial" w:cs="Arial"/>
          <w:sz w:val="21"/>
          <w:szCs w:val="21"/>
        </w:rPr>
        <w:t>(</w:t>
      </w:r>
      <w:r w:rsidRPr="00213FEB">
        <w:rPr>
          <w:rFonts w:ascii="Arial" w:hAnsi="Arial" w:cs="Arial"/>
          <w:sz w:val="21"/>
          <w:szCs w:val="21"/>
        </w:rPr>
        <w:t>18 years or over)</w:t>
      </w:r>
      <w:r w:rsidRPr="007645CD">
        <w:rPr>
          <w:rFonts w:ascii="Arial" w:hAnsi="Arial" w:cs="Arial"/>
          <w:b/>
          <w:sz w:val="21"/>
          <w:szCs w:val="21"/>
        </w:rPr>
        <w:t xml:space="preserve"> </w:t>
      </w:r>
      <w:r w:rsidR="004508C0" w:rsidRPr="00CB1FE7">
        <w:rPr>
          <w:rFonts w:ascii="Arial" w:hAnsi="Arial" w:cs="Arial"/>
          <w:sz w:val="21"/>
          <w:szCs w:val="21"/>
        </w:rPr>
        <w:t>who</w:t>
      </w:r>
      <w:r w:rsidR="006C58C9">
        <w:rPr>
          <w:rFonts w:ascii="Arial" w:hAnsi="Arial" w:cs="Arial"/>
          <w:sz w:val="21"/>
          <w:szCs w:val="21"/>
        </w:rPr>
        <w:t xml:space="preserve"> is:</w:t>
      </w:r>
      <w:r w:rsidR="004508C0" w:rsidRPr="00CB1FE7">
        <w:rPr>
          <w:rFonts w:ascii="Arial" w:hAnsi="Arial" w:cs="Arial"/>
          <w:sz w:val="21"/>
          <w:szCs w:val="21"/>
        </w:rPr>
        <w:t xml:space="preserve"> </w:t>
      </w:r>
    </w:p>
    <w:p w14:paraId="28C39A1B" w14:textId="343FFB32" w:rsidR="006C58C9" w:rsidRDefault="004508C0" w:rsidP="00CB1FE7">
      <w:pPr>
        <w:pStyle w:val="ListParagraph"/>
        <w:numPr>
          <w:ilvl w:val="0"/>
          <w:numId w:val="14"/>
        </w:numPr>
        <w:ind w:left="284" w:hanging="284"/>
        <w:jc w:val="both"/>
        <w:rPr>
          <w:rFonts w:ascii="Arial" w:hAnsi="Arial" w:cs="Arial"/>
          <w:sz w:val="21"/>
          <w:szCs w:val="21"/>
        </w:rPr>
      </w:pPr>
      <w:r w:rsidRPr="00CB1FE7">
        <w:rPr>
          <w:rFonts w:ascii="Arial" w:hAnsi="Arial" w:cs="Arial"/>
          <w:sz w:val="21"/>
          <w:szCs w:val="21"/>
        </w:rPr>
        <w:t>wor</w:t>
      </w:r>
      <w:r w:rsidR="000E1E55" w:rsidRPr="00C70C54">
        <w:rPr>
          <w:rFonts w:ascii="Arial" w:hAnsi="Arial" w:cs="Arial"/>
          <w:sz w:val="21"/>
          <w:szCs w:val="21"/>
        </w:rPr>
        <w:t xml:space="preserve">king or volunteering within an </w:t>
      </w:r>
      <w:r w:rsidRPr="00CB1FE7">
        <w:rPr>
          <w:rFonts w:ascii="Arial" w:hAnsi="Arial" w:cs="Arial"/>
          <w:sz w:val="21"/>
          <w:szCs w:val="21"/>
        </w:rPr>
        <w:t>institution</w:t>
      </w:r>
      <w:r w:rsidR="00563B95">
        <w:rPr>
          <w:rFonts w:ascii="Arial" w:hAnsi="Arial" w:cs="Arial"/>
          <w:sz w:val="21"/>
          <w:szCs w:val="21"/>
        </w:rPr>
        <w:t>,</w:t>
      </w:r>
      <w:r w:rsidR="006C58C9" w:rsidRPr="0080633E">
        <w:rPr>
          <w:rFonts w:ascii="Arial" w:hAnsi="Arial" w:cs="Arial"/>
          <w:sz w:val="21"/>
          <w:szCs w:val="21"/>
        </w:rPr>
        <w:t xml:space="preserve"> or</w:t>
      </w:r>
      <w:r w:rsidRPr="00CB1FE7">
        <w:rPr>
          <w:rFonts w:ascii="Arial" w:hAnsi="Arial" w:cs="Arial"/>
          <w:sz w:val="21"/>
          <w:szCs w:val="21"/>
        </w:rPr>
        <w:t xml:space="preserve"> </w:t>
      </w:r>
    </w:p>
    <w:p w14:paraId="4CDB60AA" w14:textId="77777777" w:rsidR="006C58C9" w:rsidRDefault="004508C0" w:rsidP="00CB1FE7">
      <w:pPr>
        <w:pStyle w:val="ListParagraph"/>
        <w:numPr>
          <w:ilvl w:val="0"/>
          <w:numId w:val="14"/>
        </w:numPr>
        <w:ind w:left="284" w:hanging="284"/>
        <w:jc w:val="both"/>
        <w:rPr>
          <w:rFonts w:ascii="Arial" w:hAnsi="Arial" w:cs="Arial"/>
          <w:sz w:val="21"/>
          <w:szCs w:val="21"/>
        </w:rPr>
      </w:pPr>
      <w:proofErr w:type="gramStart"/>
      <w:r w:rsidRPr="00CB1FE7">
        <w:rPr>
          <w:rFonts w:ascii="Arial" w:hAnsi="Arial" w:cs="Arial"/>
          <w:sz w:val="21"/>
          <w:szCs w:val="21"/>
        </w:rPr>
        <w:t>a</w:t>
      </w:r>
      <w:proofErr w:type="gramEnd"/>
      <w:r w:rsidRPr="00CB1FE7">
        <w:rPr>
          <w:rFonts w:ascii="Arial" w:hAnsi="Arial" w:cs="Arial"/>
          <w:sz w:val="21"/>
          <w:szCs w:val="21"/>
        </w:rPr>
        <w:t xml:space="preserve"> foster and kinship carer.</w:t>
      </w:r>
    </w:p>
    <w:p w14:paraId="3D08B9F3" w14:textId="36445023" w:rsidR="006A3637" w:rsidRPr="00CB1FE7" w:rsidRDefault="006A3637" w:rsidP="00CB1FE7">
      <w:pPr>
        <w:pStyle w:val="ListParagraph"/>
        <w:ind w:left="284"/>
        <w:jc w:val="both"/>
        <w:rPr>
          <w:rFonts w:ascii="Arial" w:hAnsi="Arial" w:cs="Arial"/>
          <w:sz w:val="21"/>
          <w:szCs w:val="21"/>
        </w:rPr>
      </w:pPr>
    </w:p>
    <w:p w14:paraId="0F8CD482" w14:textId="01715CBA" w:rsidR="000643AF" w:rsidRDefault="004508C0" w:rsidP="00D63DFB">
      <w:pPr>
        <w:jc w:val="both"/>
        <w:rPr>
          <w:rFonts w:ascii="Arial" w:hAnsi="Arial" w:cs="Arial"/>
          <w:sz w:val="21"/>
          <w:szCs w:val="21"/>
        </w:rPr>
      </w:pPr>
      <w:r w:rsidRPr="00CB1FE7">
        <w:rPr>
          <w:rFonts w:ascii="Arial" w:hAnsi="Arial" w:cs="Arial"/>
          <w:sz w:val="21"/>
          <w:szCs w:val="21"/>
        </w:rPr>
        <w:lastRenderedPageBreak/>
        <w:t>An</w:t>
      </w:r>
      <w:r w:rsidR="006A3637" w:rsidRPr="00CB1FE7">
        <w:rPr>
          <w:rFonts w:ascii="Arial" w:hAnsi="Arial" w:cs="Arial"/>
          <w:b/>
          <w:sz w:val="21"/>
          <w:szCs w:val="21"/>
        </w:rPr>
        <w:t xml:space="preserve"> </w:t>
      </w:r>
      <w:r w:rsidRPr="00CB1FE7">
        <w:rPr>
          <w:rFonts w:ascii="Arial" w:hAnsi="Arial" w:cs="Arial"/>
          <w:b/>
          <w:sz w:val="21"/>
          <w:szCs w:val="21"/>
        </w:rPr>
        <w:t>‘</w:t>
      </w:r>
      <w:r w:rsidR="006A3637" w:rsidRPr="00CB1FE7">
        <w:rPr>
          <w:rFonts w:ascii="Arial" w:hAnsi="Arial" w:cs="Arial"/>
          <w:b/>
          <w:sz w:val="21"/>
          <w:szCs w:val="21"/>
        </w:rPr>
        <w:t>institution</w:t>
      </w:r>
      <w:r w:rsidR="006A3637" w:rsidRPr="00CB1FE7">
        <w:rPr>
          <w:rFonts w:ascii="Arial" w:hAnsi="Arial" w:cs="Arial"/>
          <w:sz w:val="21"/>
          <w:szCs w:val="21"/>
        </w:rPr>
        <w:t>’</w:t>
      </w:r>
      <w:r w:rsidR="006A3637" w:rsidRPr="00D63DFB">
        <w:rPr>
          <w:rFonts w:ascii="Arial" w:hAnsi="Arial" w:cs="Arial"/>
          <w:sz w:val="21"/>
          <w:szCs w:val="21"/>
        </w:rPr>
        <w:t xml:space="preserve"> is defined to </w:t>
      </w:r>
      <w:r w:rsidR="00426C13">
        <w:rPr>
          <w:rFonts w:ascii="Arial" w:hAnsi="Arial" w:cs="Arial"/>
          <w:sz w:val="21"/>
          <w:szCs w:val="21"/>
        </w:rPr>
        <w:t xml:space="preserve">include organisations </w:t>
      </w:r>
      <w:r w:rsidR="006A3637" w:rsidRPr="00D63DFB">
        <w:rPr>
          <w:rFonts w:ascii="Arial" w:hAnsi="Arial" w:cs="Arial"/>
          <w:sz w:val="21"/>
          <w:szCs w:val="21"/>
        </w:rPr>
        <w:t>that operate facilities or provide services to children</w:t>
      </w:r>
      <w:r w:rsidR="001611BF">
        <w:rPr>
          <w:rFonts w:ascii="Arial" w:hAnsi="Arial" w:cs="Arial"/>
          <w:sz w:val="21"/>
          <w:szCs w:val="21"/>
        </w:rPr>
        <w:t>, including religious institutions</w:t>
      </w:r>
      <w:r w:rsidR="006A3637" w:rsidRPr="00D63DFB">
        <w:rPr>
          <w:rFonts w:ascii="Arial" w:hAnsi="Arial" w:cs="Arial"/>
          <w:sz w:val="21"/>
          <w:szCs w:val="21"/>
        </w:rPr>
        <w:t xml:space="preserve">. </w:t>
      </w:r>
    </w:p>
    <w:p w14:paraId="12D27BAB" w14:textId="43BE3C07" w:rsidR="006A3637" w:rsidRPr="00D63DFB" w:rsidRDefault="00DB1F92" w:rsidP="00D63DFB">
      <w:pPr>
        <w:jc w:val="both"/>
        <w:rPr>
          <w:rFonts w:ascii="Arial" w:hAnsi="Arial" w:cs="Arial"/>
          <w:sz w:val="21"/>
          <w:szCs w:val="21"/>
        </w:rPr>
      </w:pPr>
      <w:r>
        <w:rPr>
          <w:rFonts w:ascii="Arial" w:hAnsi="Arial" w:cs="Arial"/>
          <w:sz w:val="21"/>
          <w:szCs w:val="21"/>
        </w:rPr>
        <w:t>T</w:t>
      </w:r>
      <w:r w:rsidR="006A3637" w:rsidRPr="00D63DFB">
        <w:rPr>
          <w:rFonts w:ascii="Arial" w:hAnsi="Arial" w:cs="Arial"/>
          <w:sz w:val="21"/>
          <w:szCs w:val="21"/>
        </w:rPr>
        <w:t xml:space="preserve">he offence </w:t>
      </w:r>
      <w:r w:rsidR="001611BF">
        <w:rPr>
          <w:rFonts w:ascii="Arial" w:hAnsi="Arial" w:cs="Arial"/>
          <w:sz w:val="21"/>
          <w:szCs w:val="21"/>
        </w:rPr>
        <w:t xml:space="preserve">also </w:t>
      </w:r>
      <w:r w:rsidR="00C70C54">
        <w:rPr>
          <w:rFonts w:ascii="Arial" w:hAnsi="Arial" w:cs="Arial"/>
          <w:sz w:val="21"/>
          <w:szCs w:val="21"/>
        </w:rPr>
        <w:t xml:space="preserve">applies </w:t>
      </w:r>
      <w:r w:rsidR="00F1219F">
        <w:rPr>
          <w:rFonts w:ascii="Arial" w:hAnsi="Arial" w:cs="Arial"/>
          <w:sz w:val="21"/>
          <w:szCs w:val="21"/>
        </w:rPr>
        <w:t xml:space="preserve">to </w:t>
      </w:r>
      <w:r w:rsidR="00FA5770" w:rsidRPr="00E66AF8">
        <w:rPr>
          <w:rFonts w:ascii="Arial" w:hAnsi="Arial" w:cs="Arial"/>
          <w:b/>
          <w:sz w:val="21"/>
          <w:szCs w:val="21"/>
        </w:rPr>
        <w:t xml:space="preserve">individual </w:t>
      </w:r>
      <w:r w:rsidR="006A3637" w:rsidRPr="00E66AF8">
        <w:rPr>
          <w:rFonts w:ascii="Arial" w:hAnsi="Arial" w:cs="Arial"/>
          <w:b/>
          <w:sz w:val="21"/>
          <w:szCs w:val="21"/>
        </w:rPr>
        <w:t>foster and kinship carers</w:t>
      </w:r>
      <w:r w:rsidR="00D12EA6">
        <w:rPr>
          <w:rFonts w:ascii="Arial" w:hAnsi="Arial" w:cs="Arial"/>
          <w:sz w:val="21"/>
          <w:szCs w:val="21"/>
        </w:rPr>
        <w:t>.</w:t>
      </w:r>
    </w:p>
    <w:p w14:paraId="0F5412F9" w14:textId="153FC5B0" w:rsidR="00290D5C" w:rsidRDefault="006A3637" w:rsidP="00CB1FE7">
      <w:pPr>
        <w:spacing w:after="0"/>
        <w:jc w:val="both"/>
        <w:rPr>
          <w:rFonts w:ascii="Arial" w:hAnsi="Arial" w:cs="Arial"/>
          <w:sz w:val="21"/>
          <w:szCs w:val="21"/>
        </w:rPr>
      </w:pPr>
      <w:r w:rsidRPr="00D63DFB">
        <w:rPr>
          <w:rFonts w:ascii="Arial" w:hAnsi="Arial" w:cs="Arial"/>
          <w:sz w:val="21"/>
          <w:szCs w:val="21"/>
        </w:rPr>
        <w:t xml:space="preserve">The offence </w:t>
      </w:r>
      <w:r w:rsidR="00347622">
        <w:rPr>
          <w:rFonts w:ascii="Arial" w:hAnsi="Arial" w:cs="Arial"/>
          <w:sz w:val="21"/>
          <w:szCs w:val="21"/>
        </w:rPr>
        <w:t xml:space="preserve">is committed where </w:t>
      </w:r>
      <w:r w:rsidR="00347622" w:rsidRPr="00CB1FE7">
        <w:rPr>
          <w:rFonts w:ascii="Arial" w:hAnsi="Arial" w:cs="Arial"/>
          <w:sz w:val="21"/>
          <w:szCs w:val="21"/>
        </w:rPr>
        <w:t>an accountable person fails</w:t>
      </w:r>
      <w:r w:rsidR="006C58C9" w:rsidRPr="00CB1FE7">
        <w:rPr>
          <w:rFonts w:ascii="Arial" w:hAnsi="Arial" w:cs="Arial"/>
          <w:sz w:val="21"/>
          <w:szCs w:val="21"/>
        </w:rPr>
        <w:t xml:space="preserve"> </w:t>
      </w:r>
      <w:r w:rsidRPr="00CB1FE7">
        <w:rPr>
          <w:rFonts w:ascii="Arial" w:hAnsi="Arial" w:cs="Arial"/>
          <w:sz w:val="21"/>
          <w:szCs w:val="21"/>
        </w:rPr>
        <w:t xml:space="preserve">to </w:t>
      </w:r>
      <w:r w:rsidRPr="00CB1FE7">
        <w:rPr>
          <w:rFonts w:ascii="Arial" w:hAnsi="Arial" w:cs="Arial"/>
          <w:b/>
          <w:sz w:val="21"/>
          <w:szCs w:val="21"/>
        </w:rPr>
        <w:t>report to police</w:t>
      </w:r>
      <w:r w:rsidRPr="00CB1FE7">
        <w:rPr>
          <w:rFonts w:ascii="Arial" w:hAnsi="Arial" w:cs="Arial"/>
          <w:sz w:val="21"/>
          <w:szCs w:val="21"/>
        </w:rPr>
        <w:t xml:space="preserve"> any </w:t>
      </w:r>
      <w:r w:rsidR="006C58C9" w:rsidRPr="00CB1FE7">
        <w:rPr>
          <w:rFonts w:ascii="Arial" w:hAnsi="Arial" w:cs="Arial"/>
          <w:sz w:val="21"/>
          <w:szCs w:val="21"/>
        </w:rPr>
        <w:t>information that causes, or ought reasonably to cause, the person to believe a child sex offence is being or has been committed against</w:t>
      </w:r>
      <w:r w:rsidR="000E1E55" w:rsidRPr="00CB1FE7">
        <w:rPr>
          <w:rFonts w:ascii="Arial" w:hAnsi="Arial" w:cs="Arial"/>
          <w:sz w:val="21"/>
          <w:szCs w:val="21"/>
        </w:rPr>
        <w:t xml:space="preserve"> a </w:t>
      </w:r>
      <w:r w:rsidR="000E1E55" w:rsidRPr="00C70C54">
        <w:rPr>
          <w:rFonts w:ascii="Arial" w:hAnsi="Arial" w:cs="Arial"/>
          <w:sz w:val="21"/>
          <w:szCs w:val="21"/>
        </w:rPr>
        <w:t>child</w:t>
      </w:r>
      <w:r w:rsidR="00347622" w:rsidRPr="00CB1FE7">
        <w:rPr>
          <w:rFonts w:ascii="Arial" w:hAnsi="Arial" w:cs="Arial"/>
          <w:sz w:val="21"/>
          <w:szCs w:val="21"/>
        </w:rPr>
        <w:t xml:space="preserve"> by another adult</w:t>
      </w:r>
      <w:r w:rsidR="00C70C54">
        <w:rPr>
          <w:rFonts w:ascii="Arial" w:hAnsi="Arial" w:cs="Arial"/>
          <w:sz w:val="21"/>
          <w:szCs w:val="21"/>
        </w:rPr>
        <w:t>,</w:t>
      </w:r>
      <w:r w:rsidR="00347622" w:rsidRPr="00CB1FE7">
        <w:rPr>
          <w:rFonts w:ascii="Arial" w:hAnsi="Arial" w:cs="Arial"/>
          <w:sz w:val="21"/>
          <w:szCs w:val="21"/>
        </w:rPr>
        <w:t xml:space="preserve"> </w:t>
      </w:r>
      <w:r w:rsidR="00347622">
        <w:rPr>
          <w:rFonts w:ascii="Arial" w:hAnsi="Arial" w:cs="Arial"/>
          <w:sz w:val="21"/>
          <w:szCs w:val="21"/>
        </w:rPr>
        <w:t xml:space="preserve">who is a foster or kinship carer or is </w:t>
      </w:r>
      <w:r w:rsidR="00347622" w:rsidRPr="00CB1FE7">
        <w:rPr>
          <w:rFonts w:ascii="Arial" w:hAnsi="Arial" w:cs="Arial"/>
          <w:sz w:val="21"/>
          <w:szCs w:val="21"/>
        </w:rPr>
        <w:t xml:space="preserve">associated with </w:t>
      </w:r>
      <w:r w:rsidR="00347622">
        <w:rPr>
          <w:rFonts w:ascii="Arial" w:hAnsi="Arial" w:cs="Arial"/>
          <w:sz w:val="21"/>
          <w:szCs w:val="21"/>
        </w:rPr>
        <w:t>an</w:t>
      </w:r>
      <w:r w:rsidR="00347622" w:rsidRPr="00CB1FE7">
        <w:rPr>
          <w:rFonts w:ascii="Arial" w:hAnsi="Arial" w:cs="Arial"/>
          <w:sz w:val="21"/>
          <w:szCs w:val="21"/>
        </w:rPr>
        <w:t xml:space="preserve"> institution or foster or kinship carer.</w:t>
      </w:r>
      <w:r w:rsidR="00290D5C">
        <w:rPr>
          <w:rFonts w:ascii="Arial" w:hAnsi="Arial" w:cs="Arial"/>
          <w:sz w:val="21"/>
          <w:szCs w:val="21"/>
        </w:rPr>
        <w:t xml:space="preserve"> The</w:t>
      </w:r>
      <w:r w:rsidR="000E1E55">
        <w:rPr>
          <w:rFonts w:ascii="Arial" w:hAnsi="Arial" w:cs="Arial"/>
          <w:sz w:val="21"/>
          <w:szCs w:val="21"/>
        </w:rPr>
        <w:t xml:space="preserve"> </w:t>
      </w:r>
      <w:r w:rsidR="000E1E55" w:rsidRPr="00CB1FE7">
        <w:rPr>
          <w:rFonts w:ascii="Arial" w:hAnsi="Arial" w:cs="Arial"/>
          <w:b/>
          <w:sz w:val="21"/>
          <w:szCs w:val="21"/>
        </w:rPr>
        <w:t>child</w:t>
      </w:r>
      <w:r w:rsidR="006416ED">
        <w:rPr>
          <w:rFonts w:ascii="Arial" w:hAnsi="Arial" w:cs="Arial"/>
          <w:b/>
          <w:sz w:val="21"/>
          <w:szCs w:val="21"/>
        </w:rPr>
        <w:t>,</w:t>
      </w:r>
      <w:r w:rsidR="000E1E55" w:rsidRPr="00290D5C">
        <w:rPr>
          <w:rFonts w:ascii="Arial" w:hAnsi="Arial" w:cs="Arial"/>
          <w:sz w:val="21"/>
          <w:szCs w:val="21"/>
        </w:rPr>
        <w:t xml:space="preserve"> </w:t>
      </w:r>
      <w:r w:rsidR="00290D5C" w:rsidRPr="00CB1FE7">
        <w:rPr>
          <w:rFonts w:ascii="Arial" w:hAnsi="Arial" w:cs="Arial"/>
          <w:sz w:val="21"/>
          <w:szCs w:val="21"/>
        </w:rPr>
        <w:t>the subject of the offence</w:t>
      </w:r>
      <w:r w:rsidR="00290D5C">
        <w:rPr>
          <w:rFonts w:ascii="Arial" w:hAnsi="Arial" w:cs="Arial"/>
          <w:sz w:val="21"/>
          <w:szCs w:val="21"/>
        </w:rPr>
        <w:t>,</w:t>
      </w:r>
      <w:r w:rsidR="00290D5C" w:rsidRPr="00CB1FE7">
        <w:rPr>
          <w:rFonts w:ascii="Arial" w:hAnsi="Arial" w:cs="Arial"/>
          <w:sz w:val="21"/>
          <w:szCs w:val="21"/>
        </w:rPr>
        <w:t xml:space="preserve"> </w:t>
      </w:r>
      <w:r w:rsidR="00290D5C">
        <w:rPr>
          <w:rFonts w:ascii="Arial" w:hAnsi="Arial" w:cs="Arial"/>
          <w:sz w:val="21"/>
          <w:szCs w:val="21"/>
        </w:rPr>
        <w:t>must be or must have been:</w:t>
      </w:r>
    </w:p>
    <w:p w14:paraId="4EC5B014" w14:textId="2D5AE585" w:rsidR="00AF2C39" w:rsidRPr="00AF2C39" w:rsidRDefault="000E1E55" w:rsidP="00473632">
      <w:pPr>
        <w:pStyle w:val="normalbeforebullet"/>
        <w:numPr>
          <w:ilvl w:val="0"/>
          <w:numId w:val="21"/>
        </w:numPr>
        <w:ind w:left="284" w:hanging="284"/>
      </w:pPr>
      <w:r w:rsidRPr="000E1E55">
        <w:t>under the car</w:t>
      </w:r>
      <w:r>
        <w:t xml:space="preserve">e, supervision or control of an </w:t>
      </w:r>
      <w:r w:rsidRPr="000E1E55">
        <w:t xml:space="preserve">institution or </w:t>
      </w:r>
      <w:r w:rsidR="00347622">
        <w:t xml:space="preserve">foster or kinship </w:t>
      </w:r>
      <w:proofErr w:type="spellStart"/>
      <w:r w:rsidR="00347622">
        <w:t>carer</w:t>
      </w:r>
      <w:proofErr w:type="spellEnd"/>
      <w:r w:rsidR="00290D5C">
        <w:t>;</w:t>
      </w:r>
      <w:r>
        <w:t xml:space="preserve"> and </w:t>
      </w:r>
    </w:p>
    <w:p w14:paraId="69210098" w14:textId="147D08D5" w:rsidR="006A3637" w:rsidRPr="00196AEA" w:rsidRDefault="006A3637" w:rsidP="00E66AF8">
      <w:pPr>
        <w:pStyle w:val="normalbeforebullet"/>
        <w:numPr>
          <w:ilvl w:val="0"/>
          <w:numId w:val="21"/>
        </w:numPr>
        <w:ind w:left="284" w:hanging="284"/>
        <w:rPr>
          <w:rFonts w:cs="Arial"/>
          <w:szCs w:val="21"/>
        </w:rPr>
      </w:pPr>
      <w:proofErr w:type="gramStart"/>
      <w:r w:rsidRPr="00290D5C">
        <w:t>under</w:t>
      </w:r>
      <w:proofErr w:type="gramEnd"/>
      <w:r w:rsidRPr="00290D5C">
        <w:t xml:space="preserve"> 16 years or</w:t>
      </w:r>
      <w:r w:rsidR="000643AF">
        <w:t xml:space="preserve">, if </w:t>
      </w:r>
      <w:r w:rsidRPr="00196AEA">
        <w:rPr>
          <w:rFonts w:cs="Arial"/>
          <w:szCs w:val="21"/>
        </w:rPr>
        <w:t xml:space="preserve">the </w:t>
      </w:r>
      <w:r w:rsidR="000643AF">
        <w:rPr>
          <w:rFonts w:cs="Arial"/>
          <w:szCs w:val="21"/>
        </w:rPr>
        <w:t>alleged offender</w:t>
      </w:r>
      <w:r w:rsidRPr="00196AEA">
        <w:rPr>
          <w:rFonts w:cs="Arial"/>
          <w:szCs w:val="21"/>
        </w:rPr>
        <w:t xml:space="preserve"> is in a position of authority in relation to the child</w:t>
      </w:r>
      <w:r w:rsidR="000643AF">
        <w:rPr>
          <w:rFonts w:cs="Arial"/>
          <w:szCs w:val="21"/>
        </w:rPr>
        <w:t>, aged 16 or 17 years</w:t>
      </w:r>
      <w:r w:rsidRPr="00196AEA">
        <w:rPr>
          <w:rFonts w:cs="Arial"/>
          <w:szCs w:val="21"/>
        </w:rPr>
        <w:t xml:space="preserve">. </w:t>
      </w:r>
    </w:p>
    <w:p w14:paraId="3220C16E" w14:textId="77777777" w:rsidR="00AF2C39" w:rsidRPr="00AF2C39" w:rsidRDefault="00AF2C39" w:rsidP="00AF2C39">
      <w:pPr>
        <w:pStyle w:val="ListParagraph"/>
        <w:ind w:left="1080"/>
        <w:jc w:val="both"/>
        <w:rPr>
          <w:rFonts w:ascii="Arial" w:hAnsi="Arial" w:cs="Arial"/>
          <w:sz w:val="21"/>
          <w:szCs w:val="21"/>
        </w:rPr>
      </w:pPr>
    </w:p>
    <w:p w14:paraId="2DA95641" w14:textId="1873E460" w:rsidR="006A3637" w:rsidRPr="00D63DFB" w:rsidRDefault="00E31141" w:rsidP="00E31141">
      <w:pPr>
        <w:jc w:val="both"/>
        <w:rPr>
          <w:rFonts w:ascii="Arial" w:hAnsi="Arial" w:cs="Arial"/>
          <w:sz w:val="21"/>
          <w:szCs w:val="21"/>
        </w:rPr>
      </w:pPr>
      <w:r>
        <w:rPr>
          <w:rFonts w:ascii="Arial" w:hAnsi="Arial" w:cs="Arial"/>
          <w:sz w:val="21"/>
          <w:szCs w:val="21"/>
        </w:rPr>
        <w:t>A ‘</w:t>
      </w:r>
      <w:r w:rsidRPr="00CB1FE7">
        <w:rPr>
          <w:rFonts w:ascii="Arial" w:hAnsi="Arial" w:cs="Arial"/>
          <w:b/>
          <w:sz w:val="21"/>
          <w:szCs w:val="21"/>
        </w:rPr>
        <w:t>child sex offence</w:t>
      </w:r>
      <w:r>
        <w:rPr>
          <w:rFonts w:ascii="Arial" w:hAnsi="Arial" w:cs="Arial"/>
          <w:b/>
          <w:sz w:val="21"/>
          <w:szCs w:val="21"/>
        </w:rPr>
        <w:t>’</w:t>
      </w:r>
      <w:r>
        <w:rPr>
          <w:rFonts w:ascii="Arial" w:hAnsi="Arial" w:cs="Arial"/>
          <w:sz w:val="21"/>
          <w:szCs w:val="21"/>
        </w:rPr>
        <w:t xml:space="preserve"> is an offence of a sexual </w:t>
      </w:r>
      <w:r w:rsidRPr="00E31141">
        <w:rPr>
          <w:rFonts w:ascii="Arial" w:hAnsi="Arial" w:cs="Arial"/>
          <w:sz w:val="21"/>
          <w:szCs w:val="21"/>
        </w:rPr>
        <w:t>nature committed in relation to a child including,</w:t>
      </w:r>
      <w:r w:rsidR="006A3637" w:rsidRPr="00D63DFB">
        <w:rPr>
          <w:rFonts w:ascii="Arial" w:hAnsi="Arial" w:cs="Arial"/>
          <w:sz w:val="21"/>
          <w:szCs w:val="21"/>
        </w:rPr>
        <w:t xml:space="preserve"> offences under Chapter 22 (Offences against morality)</w:t>
      </w:r>
      <w:r w:rsidR="00844B26">
        <w:rPr>
          <w:rFonts w:ascii="Arial" w:hAnsi="Arial" w:cs="Arial"/>
          <w:sz w:val="21"/>
          <w:szCs w:val="21"/>
        </w:rPr>
        <w:t xml:space="preserve"> of the Criminal Code, such as offences relating to the</w:t>
      </w:r>
      <w:r w:rsidR="00844B26" w:rsidRPr="00844B26">
        <w:rPr>
          <w:rFonts w:ascii="Arial" w:hAnsi="Arial" w:cs="Arial"/>
          <w:sz w:val="21"/>
          <w:szCs w:val="21"/>
        </w:rPr>
        <w:t xml:space="preserve"> </w:t>
      </w:r>
      <w:r w:rsidR="00844B26">
        <w:rPr>
          <w:rFonts w:ascii="Arial" w:hAnsi="Arial" w:cs="Arial"/>
          <w:sz w:val="21"/>
          <w:szCs w:val="21"/>
        </w:rPr>
        <w:t xml:space="preserve">making, distribution and possession of child exploitation material, </w:t>
      </w:r>
      <w:r w:rsidR="006A3637" w:rsidRPr="00D63DFB">
        <w:rPr>
          <w:rFonts w:ascii="Arial" w:hAnsi="Arial" w:cs="Arial"/>
          <w:sz w:val="21"/>
          <w:szCs w:val="21"/>
        </w:rPr>
        <w:t xml:space="preserve">and </w:t>
      </w:r>
      <w:r w:rsidR="00844B26">
        <w:rPr>
          <w:rFonts w:ascii="Arial" w:hAnsi="Arial" w:cs="Arial"/>
          <w:sz w:val="21"/>
          <w:szCs w:val="21"/>
        </w:rPr>
        <w:t xml:space="preserve">Chapter </w:t>
      </w:r>
      <w:r w:rsidR="006A3637" w:rsidRPr="00D63DFB">
        <w:rPr>
          <w:rFonts w:ascii="Arial" w:hAnsi="Arial" w:cs="Arial"/>
          <w:sz w:val="21"/>
          <w:szCs w:val="21"/>
        </w:rPr>
        <w:t>32 (Rape and sexual assaults) of the Criminal Code</w:t>
      </w:r>
      <w:r w:rsidR="001D44EA">
        <w:rPr>
          <w:rFonts w:ascii="Arial" w:hAnsi="Arial" w:cs="Arial"/>
          <w:sz w:val="21"/>
          <w:szCs w:val="21"/>
        </w:rPr>
        <w:t xml:space="preserve">. </w:t>
      </w:r>
    </w:p>
    <w:p w14:paraId="545EC56B" w14:textId="6B606F07" w:rsidR="006A3637" w:rsidRPr="00D63DFB" w:rsidRDefault="006A3637" w:rsidP="00D63DFB">
      <w:pPr>
        <w:jc w:val="both"/>
        <w:rPr>
          <w:rFonts w:ascii="Arial" w:hAnsi="Arial" w:cs="Arial"/>
          <w:sz w:val="21"/>
          <w:szCs w:val="21"/>
        </w:rPr>
      </w:pPr>
      <w:r w:rsidRPr="00D63DFB">
        <w:rPr>
          <w:rFonts w:ascii="Arial" w:hAnsi="Arial" w:cs="Arial"/>
          <w:sz w:val="21"/>
          <w:szCs w:val="21"/>
        </w:rPr>
        <w:t xml:space="preserve">The new offence will apply to </w:t>
      </w:r>
      <w:r w:rsidR="00426C13">
        <w:rPr>
          <w:rFonts w:ascii="Arial" w:hAnsi="Arial" w:cs="Arial"/>
          <w:sz w:val="21"/>
          <w:szCs w:val="21"/>
        </w:rPr>
        <w:t xml:space="preserve">any </w:t>
      </w:r>
      <w:r w:rsidRPr="00D63DFB">
        <w:rPr>
          <w:rFonts w:ascii="Arial" w:hAnsi="Arial" w:cs="Arial"/>
          <w:sz w:val="21"/>
          <w:szCs w:val="21"/>
        </w:rPr>
        <w:t>information received on or after commencement</w:t>
      </w:r>
      <w:r w:rsidR="00426C13">
        <w:rPr>
          <w:rFonts w:ascii="Arial" w:hAnsi="Arial" w:cs="Arial"/>
          <w:sz w:val="21"/>
          <w:szCs w:val="21"/>
        </w:rPr>
        <w:t xml:space="preserve">, even if </w:t>
      </w:r>
      <w:r w:rsidRPr="00D63DFB">
        <w:rPr>
          <w:rFonts w:ascii="Arial" w:hAnsi="Arial" w:cs="Arial"/>
          <w:sz w:val="21"/>
          <w:szCs w:val="21"/>
        </w:rPr>
        <w:t xml:space="preserve">that information relates to abuse that occurred before commencement. </w:t>
      </w:r>
    </w:p>
    <w:p w14:paraId="52C8707D" w14:textId="77777777" w:rsidR="006A3637" w:rsidRDefault="006A3637" w:rsidP="006A3637">
      <w:pPr>
        <w:pStyle w:val="Heading2"/>
      </w:pPr>
      <w:r>
        <w:t>Penalty</w:t>
      </w:r>
    </w:p>
    <w:p w14:paraId="6E904459" w14:textId="53ED1435" w:rsidR="006A3637" w:rsidRDefault="006A3637" w:rsidP="00780BF9">
      <w:pPr>
        <w:jc w:val="both"/>
        <w:rPr>
          <w:rFonts w:ascii="Arial" w:hAnsi="Arial" w:cs="Arial"/>
          <w:sz w:val="21"/>
          <w:szCs w:val="21"/>
        </w:rPr>
      </w:pPr>
      <w:r w:rsidRPr="00D63DFB">
        <w:rPr>
          <w:rFonts w:ascii="Arial" w:hAnsi="Arial" w:cs="Arial"/>
          <w:sz w:val="21"/>
          <w:szCs w:val="21"/>
        </w:rPr>
        <w:t xml:space="preserve">A </w:t>
      </w:r>
      <w:r w:rsidRPr="007645CD">
        <w:rPr>
          <w:rFonts w:ascii="Arial" w:hAnsi="Arial" w:cs="Arial"/>
          <w:b/>
          <w:sz w:val="21"/>
          <w:szCs w:val="21"/>
        </w:rPr>
        <w:t>maximum penalty of three years imprisonment</w:t>
      </w:r>
      <w:r w:rsidRPr="00D63DFB">
        <w:rPr>
          <w:rFonts w:ascii="Arial" w:hAnsi="Arial" w:cs="Arial"/>
          <w:sz w:val="21"/>
          <w:szCs w:val="21"/>
        </w:rPr>
        <w:t xml:space="preserve"> </w:t>
      </w:r>
      <w:r w:rsidR="00426C13">
        <w:rPr>
          <w:rFonts w:ascii="Arial" w:hAnsi="Arial" w:cs="Arial"/>
          <w:sz w:val="21"/>
          <w:szCs w:val="21"/>
        </w:rPr>
        <w:t>will apply to</w:t>
      </w:r>
      <w:r w:rsidRPr="00D63DFB">
        <w:rPr>
          <w:rFonts w:ascii="Arial" w:hAnsi="Arial" w:cs="Arial"/>
          <w:sz w:val="21"/>
          <w:szCs w:val="21"/>
        </w:rPr>
        <w:t xml:space="preserve"> the new</w:t>
      </w:r>
      <w:r w:rsidR="00426C13">
        <w:rPr>
          <w:rFonts w:ascii="Arial" w:hAnsi="Arial" w:cs="Arial"/>
          <w:sz w:val="21"/>
          <w:szCs w:val="21"/>
        </w:rPr>
        <w:t xml:space="preserve"> failure to report</w:t>
      </w:r>
      <w:r w:rsidRPr="00D63DFB">
        <w:rPr>
          <w:rFonts w:ascii="Arial" w:hAnsi="Arial" w:cs="Arial"/>
          <w:sz w:val="21"/>
          <w:szCs w:val="21"/>
        </w:rPr>
        <w:t xml:space="preserve"> offence. </w:t>
      </w:r>
    </w:p>
    <w:p w14:paraId="2F9AFB7A" w14:textId="5F94E9CE" w:rsidR="00690EC2" w:rsidRDefault="00690EC2" w:rsidP="00690EC2">
      <w:pPr>
        <w:pStyle w:val="Heading2"/>
      </w:pPr>
      <w:r>
        <w:t xml:space="preserve">New </w:t>
      </w:r>
      <w:r w:rsidR="00426C13">
        <w:t>o</w:t>
      </w:r>
      <w:r>
        <w:t>ffence of failure to protect</w:t>
      </w:r>
    </w:p>
    <w:p w14:paraId="67AE3595" w14:textId="1BC89E7F" w:rsidR="00AB3668" w:rsidRPr="00AB3668" w:rsidRDefault="00844B26" w:rsidP="00AB3668">
      <w:pPr>
        <w:jc w:val="both"/>
        <w:rPr>
          <w:rFonts w:ascii="Arial" w:hAnsi="Arial" w:cs="Arial"/>
          <w:sz w:val="21"/>
          <w:szCs w:val="21"/>
        </w:rPr>
      </w:pPr>
      <w:r>
        <w:rPr>
          <w:rFonts w:ascii="Arial" w:hAnsi="Arial" w:cs="Arial"/>
          <w:sz w:val="21"/>
          <w:szCs w:val="21"/>
        </w:rPr>
        <w:t xml:space="preserve">The Consultation Draft Bill </w:t>
      </w:r>
      <w:r w:rsidR="001A5916">
        <w:rPr>
          <w:rFonts w:ascii="Arial" w:hAnsi="Arial" w:cs="Arial"/>
          <w:sz w:val="21"/>
          <w:szCs w:val="21"/>
        </w:rPr>
        <w:t>proposes a</w:t>
      </w:r>
      <w:r w:rsidR="00AB3668" w:rsidRPr="00AB3668">
        <w:rPr>
          <w:rFonts w:ascii="Arial" w:hAnsi="Arial" w:cs="Arial"/>
          <w:sz w:val="21"/>
          <w:szCs w:val="21"/>
        </w:rPr>
        <w:t xml:space="preserve"> new offence</w:t>
      </w:r>
      <w:r w:rsidR="00451999">
        <w:rPr>
          <w:rFonts w:ascii="Arial" w:hAnsi="Arial" w:cs="Arial"/>
          <w:sz w:val="21"/>
          <w:szCs w:val="21"/>
        </w:rPr>
        <w:t xml:space="preserve"> in the Criminal Code </w:t>
      </w:r>
      <w:r w:rsidR="000E1E55">
        <w:rPr>
          <w:rFonts w:ascii="Arial" w:hAnsi="Arial" w:cs="Arial"/>
          <w:sz w:val="21"/>
          <w:szCs w:val="21"/>
        </w:rPr>
        <w:t xml:space="preserve">of </w:t>
      </w:r>
      <w:r w:rsidR="001611BF">
        <w:rPr>
          <w:rFonts w:ascii="Arial" w:hAnsi="Arial" w:cs="Arial"/>
          <w:i/>
          <w:sz w:val="21"/>
          <w:szCs w:val="21"/>
        </w:rPr>
        <w:t>F</w:t>
      </w:r>
      <w:r w:rsidR="000E1E55" w:rsidRPr="00CB1FE7">
        <w:rPr>
          <w:rFonts w:ascii="Arial" w:hAnsi="Arial" w:cs="Arial"/>
          <w:i/>
          <w:sz w:val="21"/>
          <w:szCs w:val="21"/>
        </w:rPr>
        <w:t>ailure to protect child from child sex offence</w:t>
      </w:r>
      <w:r w:rsidR="000E1E55">
        <w:rPr>
          <w:rFonts w:ascii="Arial" w:hAnsi="Arial" w:cs="Arial"/>
          <w:sz w:val="21"/>
          <w:szCs w:val="21"/>
        </w:rPr>
        <w:t xml:space="preserve">.  </w:t>
      </w:r>
    </w:p>
    <w:p w14:paraId="214A9329" w14:textId="143DA515" w:rsidR="001520B3" w:rsidRDefault="001520B3" w:rsidP="00AB3668">
      <w:pPr>
        <w:jc w:val="both"/>
        <w:rPr>
          <w:rFonts w:ascii="Arial" w:hAnsi="Arial" w:cs="Arial"/>
          <w:sz w:val="21"/>
          <w:szCs w:val="21"/>
        </w:rPr>
      </w:pPr>
      <w:r>
        <w:rPr>
          <w:rFonts w:ascii="Arial" w:hAnsi="Arial" w:cs="Arial"/>
          <w:sz w:val="21"/>
          <w:szCs w:val="21"/>
        </w:rPr>
        <w:t>Similarly to the new failure to report offence, t</w:t>
      </w:r>
      <w:r w:rsidR="00AB3668" w:rsidRPr="00AB3668">
        <w:rPr>
          <w:rFonts w:ascii="Arial" w:hAnsi="Arial" w:cs="Arial"/>
          <w:sz w:val="21"/>
          <w:szCs w:val="21"/>
        </w:rPr>
        <w:t xml:space="preserve">he </w:t>
      </w:r>
      <w:r w:rsidR="001A5916">
        <w:rPr>
          <w:rFonts w:ascii="Arial" w:hAnsi="Arial" w:cs="Arial"/>
          <w:sz w:val="21"/>
          <w:szCs w:val="21"/>
        </w:rPr>
        <w:t>failure to protect</w:t>
      </w:r>
      <w:r w:rsidR="00AB3668">
        <w:rPr>
          <w:rFonts w:ascii="Arial" w:hAnsi="Arial" w:cs="Arial"/>
          <w:sz w:val="21"/>
          <w:szCs w:val="21"/>
        </w:rPr>
        <w:t xml:space="preserve"> </w:t>
      </w:r>
      <w:r w:rsidR="00AB3668" w:rsidRPr="00AB3668">
        <w:rPr>
          <w:rFonts w:ascii="Arial" w:hAnsi="Arial" w:cs="Arial"/>
          <w:sz w:val="21"/>
          <w:szCs w:val="21"/>
        </w:rPr>
        <w:t xml:space="preserve">offence will </w:t>
      </w:r>
      <w:r w:rsidR="00AB3668">
        <w:rPr>
          <w:rFonts w:ascii="Arial" w:hAnsi="Arial" w:cs="Arial"/>
          <w:sz w:val="21"/>
          <w:szCs w:val="21"/>
        </w:rPr>
        <w:t xml:space="preserve">apply </w:t>
      </w:r>
      <w:r>
        <w:rPr>
          <w:rFonts w:ascii="Arial" w:hAnsi="Arial" w:cs="Arial"/>
          <w:sz w:val="21"/>
          <w:szCs w:val="21"/>
        </w:rPr>
        <w:t>to</w:t>
      </w:r>
      <w:r w:rsidR="00AB3668" w:rsidRPr="00AB3668">
        <w:rPr>
          <w:rFonts w:ascii="Arial" w:hAnsi="Arial" w:cs="Arial"/>
          <w:sz w:val="21"/>
          <w:szCs w:val="21"/>
        </w:rPr>
        <w:t xml:space="preserve"> </w:t>
      </w:r>
      <w:r w:rsidR="00AB3668" w:rsidRPr="00CB1FE7">
        <w:rPr>
          <w:rFonts w:ascii="Arial" w:hAnsi="Arial" w:cs="Arial"/>
          <w:sz w:val="21"/>
          <w:szCs w:val="21"/>
        </w:rPr>
        <w:t>adult</w:t>
      </w:r>
      <w:r w:rsidRPr="00CB1FE7">
        <w:rPr>
          <w:rFonts w:ascii="Arial" w:hAnsi="Arial" w:cs="Arial"/>
          <w:sz w:val="21"/>
          <w:szCs w:val="21"/>
        </w:rPr>
        <w:t>s</w:t>
      </w:r>
      <w:r w:rsidR="00AB3668" w:rsidRPr="00CB1FE7">
        <w:rPr>
          <w:rFonts w:ascii="Arial" w:hAnsi="Arial" w:cs="Arial"/>
          <w:sz w:val="21"/>
          <w:szCs w:val="21"/>
        </w:rPr>
        <w:t xml:space="preserve"> </w:t>
      </w:r>
      <w:r w:rsidR="001A5916" w:rsidRPr="00CB1FE7">
        <w:rPr>
          <w:rFonts w:ascii="Arial" w:hAnsi="Arial" w:cs="Arial"/>
          <w:sz w:val="21"/>
          <w:szCs w:val="21"/>
        </w:rPr>
        <w:t>working or</w:t>
      </w:r>
      <w:r w:rsidRPr="00CB1FE7">
        <w:rPr>
          <w:rFonts w:ascii="Arial" w:hAnsi="Arial" w:cs="Arial"/>
          <w:sz w:val="21"/>
          <w:szCs w:val="21"/>
        </w:rPr>
        <w:t xml:space="preserve"> volunteering within a</w:t>
      </w:r>
      <w:r w:rsidR="000E1422" w:rsidRPr="00CB1FE7">
        <w:rPr>
          <w:rFonts w:ascii="Arial" w:hAnsi="Arial" w:cs="Arial"/>
          <w:sz w:val="21"/>
          <w:szCs w:val="21"/>
        </w:rPr>
        <w:t>n</w:t>
      </w:r>
      <w:r w:rsidRPr="00CB1FE7">
        <w:rPr>
          <w:rFonts w:ascii="Arial" w:hAnsi="Arial" w:cs="Arial"/>
          <w:sz w:val="21"/>
          <w:szCs w:val="21"/>
        </w:rPr>
        <w:t xml:space="preserve"> </w:t>
      </w:r>
      <w:r w:rsidR="000E1422">
        <w:rPr>
          <w:rFonts w:ascii="Arial" w:hAnsi="Arial" w:cs="Arial"/>
          <w:b/>
          <w:sz w:val="21"/>
          <w:szCs w:val="21"/>
        </w:rPr>
        <w:t>‘</w:t>
      </w:r>
      <w:r w:rsidRPr="007645CD">
        <w:rPr>
          <w:rFonts w:ascii="Arial" w:hAnsi="Arial" w:cs="Arial"/>
          <w:b/>
          <w:sz w:val="21"/>
          <w:szCs w:val="21"/>
        </w:rPr>
        <w:t>institution</w:t>
      </w:r>
      <w:r w:rsidR="000E1422">
        <w:rPr>
          <w:rFonts w:ascii="Arial" w:hAnsi="Arial" w:cs="Arial"/>
          <w:sz w:val="21"/>
          <w:szCs w:val="21"/>
        </w:rPr>
        <w:t>’</w:t>
      </w:r>
      <w:r w:rsidR="000E1E55">
        <w:rPr>
          <w:rFonts w:ascii="Arial" w:hAnsi="Arial" w:cs="Arial"/>
          <w:sz w:val="21"/>
          <w:szCs w:val="21"/>
        </w:rPr>
        <w:t xml:space="preserve"> and </w:t>
      </w:r>
      <w:r w:rsidR="000E1E55" w:rsidRPr="00E66AF8">
        <w:rPr>
          <w:rFonts w:ascii="Arial" w:hAnsi="Arial" w:cs="Arial"/>
          <w:b/>
          <w:sz w:val="21"/>
          <w:szCs w:val="21"/>
        </w:rPr>
        <w:t>foster and kinship carers</w:t>
      </w:r>
      <w:r w:rsidR="000E1E55">
        <w:rPr>
          <w:rFonts w:ascii="Arial" w:hAnsi="Arial" w:cs="Arial"/>
          <w:sz w:val="21"/>
          <w:szCs w:val="21"/>
        </w:rPr>
        <w:t>.</w:t>
      </w:r>
    </w:p>
    <w:p w14:paraId="44FC534D" w14:textId="1AAAA570" w:rsidR="001A5916" w:rsidRPr="001A5916" w:rsidRDefault="00844B26" w:rsidP="00CB1FE7">
      <w:pPr>
        <w:spacing w:after="0"/>
        <w:jc w:val="both"/>
        <w:rPr>
          <w:rFonts w:ascii="Arial" w:hAnsi="Arial" w:cs="Arial"/>
          <w:sz w:val="21"/>
          <w:szCs w:val="21"/>
        </w:rPr>
      </w:pPr>
      <w:r>
        <w:rPr>
          <w:rFonts w:ascii="Arial" w:hAnsi="Arial" w:cs="Arial"/>
          <w:sz w:val="21"/>
          <w:szCs w:val="21"/>
        </w:rPr>
        <w:t>Under t</w:t>
      </w:r>
      <w:r w:rsidR="001520B3" w:rsidRPr="001A5916">
        <w:rPr>
          <w:rFonts w:ascii="Arial" w:hAnsi="Arial" w:cs="Arial"/>
          <w:sz w:val="21"/>
          <w:szCs w:val="21"/>
        </w:rPr>
        <w:t xml:space="preserve">he </w:t>
      </w:r>
      <w:r w:rsidR="00426C13">
        <w:rPr>
          <w:rFonts w:ascii="Arial" w:hAnsi="Arial" w:cs="Arial"/>
          <w:sz w:val="21"/>
          <w:szCs w:val="21"/>
        </w:rPr>
        <w:t xml:space="preserve">failure to protect </w:t>
      </w:r>
      <w:r w:rsidR="001520B3" w:rsidRPr="001A5916">
        <w:rPr>
          <w:rFonts w:ascii="Arial" w:hAnsi="Arial" w:cs="Arial"/>
          <w:sz w:val="21"/>
          <w:szCs w:val="21"/>
        </w:rPr>
        <w:t xml:space="preserve">offence </w:t>
      </w:r>
      <w:r w:rsidR="000E1E55">
        <w:rPr>
          <w:rFonts w:ascii="Arial" w:hAnsi="Arial" w:cs="Arial"/>
          <w:sz w:val="21"/>
          <w:szCs w:val="21"/>
        </w:rPr>
        <w:t xml:space="preserve">these </w:t>
      </w:r>
      <w:r w:rsidR="00347622" w:rsidRPr="00CB1FE7">
        <w:rPr>
          <w:rFonts w:ascii="Arial" w:hAnsi="Arial" w:cs="Arial"/>
          <w:b/>
          <w:sz w:val="21"/>
          <w:szCs w:val="21"/>
        </w:rPr>
        <w:t>accountable persons</w:t>
      </w:r>
      <w:r w:rsidR="00347622">
        <w:rPr>
          <w:rFonts w:ascii="Arial" w:hAnsi="Arial" w:cs="Arial"/>
          <w:sz w:val="21"/>
          <w:szCs w:val="21"/>
        </w:rPr>
        <w:t xml:space="preserve"> </w:t>
      </w:r>
      <w:r w:rsidR="00D25640">
        <w:rPr>
          <w:rFonts w:ascii="Arial" w:hAnsi="Arial" w:cs="Arial"/>
          <w:sz w:val="21"/>
          <w:szCs w:val="21"/>
        </w:rPr>
        <w:t>will be liable where</w:t>
      </w:r>
      <w:r w:rsidR="001A5916">
        <w:rPr>
          <w:rFonts w:ascii="Arial" w:hAnsi="Arial" w:cs="Arial"/>
          <w:sz w:val="21"/>
          <w:szCs w:val="21"/>
        </w:rPr>
        <w:t>:</w:t>
      </w:r>
      <w:r w:rsidR="001A5916" w:rsidRPr="001A5916">
        <w:rPr>
          <w:rFonts w:ascii="Arial" w:hAnsi="Arial" w:cs="Arial"/>
          <w:sz w:val="21"/>
          <w:szCs w:val="21"/>
        </w:rPr>
        <w:t xml:space="preserve"> </w:t>
      </w:r>
    </w:p>
    <w:p w14:paraId="631DEB6B" w14:textId="605EC37E" w:rsidR="00C70C54" w:rsidRDefault="00347622" w:rsidP="00CB1FE7">
      <w:pPr>
        <w:pStyle w:val="normalbeforebullet"/>
        <w:ind w:left="284" w:hanging="284"/>
      </w:pPr>
      <w:r>
        <w:t xml:space="preserve">they </w:t>
      </w:r>
      <w:r w:rsidR="001520B3" w:rsidRPr="00B71EF0">
        <w:t>know</w:t>
      </w:r>
      <w:r w:rsidR="00AB3668" w:rsidRPr="00B71EF0">
        <w:t xml:space="preserve"> there is a significan</w:t>
      </w:r>
      <w:r w:rsidR="001A5916">
        <w:t>t risk that another adult</w:t>
      </w:r>
      <w:r w:rsidR="00C70C54">
        <w:t>,</w:t>
      </w:r>
      <w:r w:rsidR="00AB3668" w:rsidRPr="00B71EF0">
        <w:t xml:space="preserve"> </w:t>
      </w:r>
      <w:r w:rsidR="00290D5C">
        <w:t>(</w:t>
      </w:r>
      <w:r w:rsidR="00C70C54">
        <w:t>who is</w:t>
      </w:r>
      <w:r w:rsidR="00290D5C">
        <w:t xml:space="preserve"> </w:t>
      </w:r>
      <w:r w:rsidR="00C70C54">
        <w:t xml:space="preserve">a foster or kinship </w:t>
      </w:r>
      <w:proofErr w:type="spellStart"/>
      <w:r w:rsidR="00C70C54">
        <w:t>carer</w:t>
      </w:r>
      <w:proofErr w:type="spellEnd"/>
      <w:r w:rsidR="00C70C54">
        <w:t>, or</w:t>
      </w:r>
      <w:r w:rsidR="00290D5C">
        <w:t xml:space="preserve"> is </w:t>
      </w:r>
      <w:r w:rsidR="00AB3668" w:rsidRPr="00B71EF0">
        <w:t xml:space="preserve">associated with </w:t>
      </w:r>
      <w:r w:rsidR="00290D5C">
        <w:t>an</w:t>
      </w:r>
      <w:r w:rsidR="00290D5C" w:rsidRPr="00B71EF0">
        <w:t xml:space="preserve"> </w:t>
      </w:r>
      <w:r w:rsidR="00AB3668" w:rsidRPr="00B71EF0">
        <w:t>institution</w:t>
      </w:r>
      <w:r w:rsidR="000E1E55">
        <w:t xml:space="preserve"> or foster or kinship </w:t>
      </w:r>
      <w:proofErr w:type="spellStart"/>
      <w:r w:rsidR="000E1E55">
        <w:t>carer</w:t>
      </w:r>
      <w:proofErr w:type="spellEnd"/>
      <w:r w:rsidR="00290D5C">
        <w:t>)</w:t>
      </w:r>
      <w:r w:rsidR="00AB3668" w:rsidRPr="00B71EF0">
        <w:t xml:space="preserve"> will commit a </w:t>
      </w:r>
      <w:r>
        <w:t xml:space="preserve">child </w:t>
      </w:r>
      <w:r w:rsidR="00AB3668" w:rsidRPr="00B71EF0">
        <w:t>sex</w:t>
      </w:r>
      <w:r>
        <w:t xml:space="preserve"> </w:t>
      </w:r>
      <w:r w:rsidR="00AB3668" w:rsidRPr="00B71EF0">
        <w:t>offence against</w:t>
      </w:r>
      <w:r w:rsidR="000E1E55">
        <w:t xml:space="preserve"> a child</w:t>
      </w:r>
      <w:r>
        <w:t>;</w:t>
      </w:r>
      <w:r w:rsidR="00C70C54">
        <w:t xml:space="preserve"> and</w:t>
      </w:r>
    </w:p>
    <w:p w14:paraId="52DEF820" w14:textId="5C8AF1C2" w:rsidR="000E1E55" w:rsidRDefault="00347622" w:rsidP="00E66AF8">
      <w:pPr>
        <w:pStyle w:val="normalbeforebullet"/>
        <w:ind w:left="284" w:hanging="284"/>
      </w:pPr>
      <w:r>
        <w:t xml:space="preserve">they </w:t>
      </w:r>
      <w:r w:rsidR="001A5916" w:rsidRPr="001A5916">
        <w:t>have</w:t>
      </w:r>
      <w:r w:rsidR="00AB3668" w:rsidRPr="001A5916">
        <w:t xml:space="preserve"> the power or responsibility to reduce or remove the risk</w:t>
      </w:r>
      <w:r w:rsidR="000E1E55">
        <w:t>; and</w:t>
      </w:r>
    </w:p>
    <w:p w14:paraId="7C62682A" w14:textId="68857769" w:rsidR="00C70C54" w:rsidRDefault="00347622" w:rsidP="00E66AF8">
      <w:pPr>
        <w:pStyle w:val="normalbeforebullet"/>
        <w:ind w:left="284" w:hanging="284"/>
      </w:pPr>
      <w:proofErr w:type="gramStart"/>
      <w:r>
        <w:t>they</w:t>
      </w:r>
      <w:proofErr w:type="gramEnd"/>
      <w:r>
        <w:t xml:space="preserve"> </w:t>
      </w:r>
      <w:r w:rsidR="001611BF">
        <w:t xml:space="preserve">willfully or </w:t>
      </w:r>
      <w:r w:rsidR="000E1E55" w:rsidRPr="000E1E55">
        <w:t>negligently fail to reduce or remove the risk</w:t>
      </w:r>
      <w:r w:rsidR="000E1E55">
        <w:t>.</w:t>
      </w:r>
    </w:p>
    <w:p w14:paraId="6342E73C" w14:textId="77777777" w:rsidR="001611BF" w:rsidRDefault="001611BF" w:rsidP="00CB1FE7">
      <w:pPr>
        <w:spacing w:after="0"/>
        <w:jc w:val="both"/>
        <w:rPr>
          <w:rFonts w:ascii="Arial" w:hAnsi="Arial"/>
          <w:sz w:val="21"/>
          <w:szCs w:val="24"/>
          <w:lang w:val="en-US"/>
        </w:rPr>
      </w:pPr>
    </w:p>
    <w:p w14:paraId="38023615" w14:textId="7C579570" w:rsidR="00C70C54" w:rsidRPr="00C70C54" w:rsidRDefault="001611BF" w:rsidP="00CB1FE7">
      <w:pPr>
        <w:spacing w:after="0"/>
        <w:jc w:val="both"/>
        <w:rPr>
          <w:rFonts w:ascii="Arial" w:hAnsi="Arial"/>
          <w:sz w:val="21"/>
          <w:szCs w:val="24"/>
          <w:lang w:val="en-US"/>
        </w:rPr>
      </w:pPr>
      <w:r>
        <w:rPr>
          <w:rFonts w:ascii="Arial" w:hAnsi="Arial"/>
          <w:sz w:val="21"/>
          <w:szCs w:val="24"/>
          <w:lang w:val="en-US"/>
        </w:rPr>
        <w:t xml:space="preserve">The offence will apply to a child that </w:t>
      </w:r>
      <w:r w:rsidR="00C70C54" w:rsidRPr="00C70C54">
        <w:rPr>
          <w:rFonts w:ascii="Arial" w:hAnsi="Arial"/>
          <w:sz w:val="21"/>
          <w:szCs w:val="24"/>
          <w:lang w:val="en-US"/>
        </w:rPr>
        <w:t>is</w:t>
      </w:r>
      <w:r w:rsidR="00C70C54">
        <w:rPr>
          <w:rFonts w:ascii="Arial" w:hAnsi="Arial"/>
          <w:sz w:val="21"/>
          <w:szCs w:val="24"/>
          <w:lang w:val="en-US"/>
        </w:rPr>
        <w:t xml:space="preserve"> or was under the care, supervision or </w:t>
      </w:r>
      <w:r w:rsidR="00C70C54" w:rsidRPr="00C70C54">
        <w:rPr>
          <w:rFonts w:ascii="Arial" w:hAnsi="Arial"/>
          <w:sz w:val="21"/>
          <w:szCs w:val="24"/>
          <w:lang w:val="en-US"/>
        </w:rPr>
        <w:t>control of an institution o</w:t>
      </w:r>
      <w:r w:rsidR="00C70C54">
        <w:rPr>
          <w:rFonts w:ascii="Arial" w:hAnsi="Arial"/>
          <w:sz w:val="21"/>
          <w:szCs w:val="24"/>
          <w:lang w:val="en-US"/>
        </w:rPr>
        <w:t xml:space="preserve">r foster or kinship </w:t>
      </w:r>
      <w:proofErr w:type="spellStart"/>
      <w:r w:rsidR="00C70C54">
        <w:rPr>
          <w:rFonts w:ascii="Arial" w:hAnsi="Arial"/>
          <w:sz w:val="21"/>
          <w:szCs w:val="24"/>
          <w:lang w:val="en-US"/>
        </w:rPr>
        <w:t>carer</w:t>
      </w:r>
      <w:proofErr w:type="spellEnd"/>
      <w:r w:rsidR="00C70C54">
        <w:rPr>
          <w:rFonts w:ascii="Arial" w:hAnsi="Arial"/>
          <w:sz w:val="21"/>
          <w:szCs w:val="24"/>
          <w:lang w:val="en-US"/>
        </w:rPr>
        <w:t xml:space="preserve"> and</w:t>
      </w:r>
      <w:r w:rsidR="00196AEA">
        <w:rPr>
          <w:rFonts w:ascii="Arial" w:hAnsi="Arial"/>
          <w:sz w:val="21"/>
          <w:szCs w:val="24"/>
          <w:lang w:val="en-US"/>
        </w:rPr>
        <w:t xml:space="preserve"> is or</w:t>
      </w:r>
      <w:r w:rsidR="00C70C54">
        <w:rPr>
          <w:rFonts w:ascii="Arial" w:hAnsi="Arial"/>
          <w:sz w:val="21"/>
          <w:szCs w:val="24"/>
          <w:lang w:val="en-US"/>
        </w:rPr>
        <w:t xml:space="preserve"> was</w:t>
      </w:r>
      <w:r w:rsidR="00C70C54" w:rsidRPr="00C70C54">
        <w:rPr>
          <w:rFonts w:ascii="Arial" w:hAnsi="Arial"/>
          <w:sz w:val="21"/>
          <w:szCs w:val="24"/>
          <w:lang w:val="en-US"/>
        </w:rPr>
        <w:t>:</w:t>
      </w:r>
    </w:p>
    <w:p w14:paraId="47E1A52F" w14:textId="12D0112E" w:rsidR="00C70C54" w:rsidRPr="00CB1FE7" w:rsidRDefault="00C70C54" w:rsidP="00CB1FE7">
      <w:pPr>
        <w:pStyle w:val="ListParagraph"/>
        <w:numPr>
          <w:ilvl w:val="0"/>
          <w:numId w:val="16"/>
        </w:numPr>
        <w:jc w:val="both"/>
        <w:rPr>
          <w:rFonts w:ascii="Arial" w:hAnsi="Arial"/>
          <w:sz w:val="21"/>
          <w:szCs w:val="24"/>
          <w:lang w:val="en-US"/>
        </w:rPr>
      </w:pPr>
      <w:r w:rsidRPr="00CB1FE7">
        <w:rPr>
          <w:rFonts w:ascii="Arial" w:hAnsi="Arial"/>
          <w:sz w:val="21"/>
          <w:szCs w:val="24"/>
          <w:lang w:val="en-US"/>
        </w:rPr>
        <w:t xml:space="preserve">under the age of 16 years, or </w:t>
      </w:r>
    </w:p>
    <w:p w14:paraId="56430C8F" w14:textId="470CD6B5" w:rsidR="00AB3668" w:rsidRPr="00CB1FE7" w:rsidRDefault="00C70C54" w:rsidP="00CB1FE7">
      <w:pPr>
        <w:pStyle w:val="ListParagraph"/>
        <w:numPr>
          <w:ilvl w:val="0"/>
          <w:numId w:val="16"/>
        </w:numPr>
        <w:jc w:val="both"/>
        <w:rPr>
          <w:rFonts w:ascii="Arial" w:hAnsi="Arial"/>
          <w:sz w:val="21"/>
          <w:szCs w:val="24"/>
          <w:lang w:val="en-US"/>
        </w:rPr>
      </w:pPr>
      <w:r w:rsidRPr="00CB1FE7">
        <w:rPr>
          <w:rFonts w:ascii="Arial" w:hAnsi="Arial"/>
          <w:sz w:val="21"/>
          <w:szCs w:val="24"/>
          <w:lang w:val="en-US"/>
        </w:rPr>
        <w:t xml:space="preserve">16 or 17 years of age if the </w:t>
      </w:r>
      <w:r w:rsidR="001611BF">
        <w:rPr>
          <w:rFonts w:ascii="Arial" w:hAnsi="Arial"/>
          <w:sz w:val="21"/>
          <w:szCs w:val="24"/>
          <w:lang w:val="en-US"/>
        </w:rPr>
        <w:t>alleged offender</w:t>
      </w:r>
      <w:r w:rsidRPr="00CB1FE7">
        <w:rPr>
          <w:rFonts w:ascii="Arial" w:hAnsi="Arial"/>
          <w:sz w:val="21"/>
          <w:szCs w:val="24"/>
          <w:lang w:val="en-US"/>
        </w:rPr>
        <w:t xml:space="preserve"> is in a position of authority in relation to the child</w:t>
      </w:r>
      <w:r>
        <w:rPr>
          <w:rFonts w:ascii="Arial" w:hAnsi="Arial"/>
          <w:sz w:val="21"/>
          <w:szCs w:val="24"/>
          <w:lang w:val="en-US"/>
        </w:rPr>
        <w:t>.</w:t>
      </w:r>
    </w:p>
    <w:p w14:paraId="6545A8CE" w14:textId="77777777" w:rsidR="00AB3668" w:rsidRDefault="00AB3668" w:rsidP="00AB3668">
      <w:pPr>
        <w:pStyle w:val="Heading2"/>
      </w:pPr>
      <w:r>
        <w:t>Penalty</w:t>
      </w:r>
    </w:p>
    <w:p w14:paraId="3C69E564" w14:textId="2489892A" w:rsidR="006A3637" w:rsidRDefault="00AB3668" w:rsidP="005107FD">
      <w:pPr>
        <w:jc w:val="both"/>
        <w:rPr>
          <w:rFonts w:ascii="Arial" w:hAnsi="Arial" w:cs="Arial"/>
          <w:sz w:val="21"/>
          <w:szCs w:val="21"/>
        </w:rPr>
      </w:pPr>
      <w:r>
        <w:rPr>
          <w:rFonts w:ascii="Arial" w:hAnsi="Arial" w:cs="Arial"/>
          <w:sz w:val="21"/>
          <w:szCs w:val="21"/>
        </w:rPr>
        <w:t xml:space="preserve">A </w:t>
      </w:r>
      <w:r w:rsidRPr="007645CD">
        <w:rPr>
          <w:rFonts w:ascii="Arial" w:hAnsi="Arial" w:cs="Arial"/>
          <w:b/>
          <w:sz w:val="21"/>
          <w:szCs w:val="21"/>
        </w:rPr>
        <w:t>maximum penalty of five years imprisonment</w:t>
      </w:r>
      <w:r w:rsidRPr="00D63DFB">
        <w:rPr>
          <w:rFonts w:ascii="Arial" w:hAnsi="Arial" w:cs="Arial"/>
          <w:sz w:val="21"/>
          <w:szCs w:val="21"/>
        </w:rPr>
        <w:t xml:space="preserve"> </w:t>
      </w:r>
      <w:r w:rsidR="00426C13">
        <w:rPr>
          <w:rFonts w:ascii="Arial" w:hAnsi="Arial" w:cs="Arial"/>
          <w:sz w:val="21"/>
          <w:szCs w:val="21"/>
        </w:rPr>
        <w:t xml:space="preserve">will apply to the </w:t>
      </w:r>
      <w:r w:rsidRPr="00D63DFB">
        <w:rPr>
          <w:rFonts w:ascii="Arial" w:hAnsi="Arial" w:cs="Arial"/>
          <w:sz w:val="21"/>
          <w:szCs w:val="21"/>
        </w:rPr>
        <w:t xml:space="preserve">new </w:t>
      </w:r>
      <w:r w:rsidR="001520B3">
        <w:rPr>
          <w:rFonts w:ascii="Arial" w:hAnsi="Arial" w:cs="Arial"/>
          <w:sz w:val="21"/>
          <w:szCs w:val="21"/>
        </w:rPr>
        <w:t>failure to protect</w:t>
      </w:r>
      <w:r w:rsidR="000E1E55">
        <w:rPr>
          <w:rFonts w:ascii="Arial" w:hAnsi="Arial" w:cs="Arial"/>
          <w:sz w:val="21"/>
          <w:szCs w:val="21"/>
        </w:rPr>
        <w:t xml:space="preserve"> offence</w:t>
      </w:r>
      <w:r w:rsidRPr="00D63DFB">
        <w:rPr>
          <w:rFonts w:ascii="Arial" w:hAnsi="Arial" w:cs="Arial"/>
          <w:sz w:val="21"/>
          <w:szCs w:val="21"/>
        </w:rPr>
        <w:t xml:space="preserve">. </w:t>
      </w:r>
    </w:p>
    <w:p w14:paraId="497F86F8" w14:textId="5A441F72" w:rsidR="00CB6F96" w:rsidRPr="00E66AF8" w:rsidRDefault="00CB6F96" w:rsidP="005107FD">
      <w:pPr>
        <w:jc w:val="both"/>
        <w:rPr>
          <w:rFonts w:ascii="Arial" w:eastAsiaTheme="majorEastAsia" w:hAnsi="Arial" w:cstheme="majorBidi"/>
          <w:color w:val="AF4C64"/>
          <w:sz w:val="26"/>
          <w:szCs w:val="26"/>
          <w:lang w:val="en-US"/>
        </w:rPr>
      </w:pPr>
      <w:r w:rsidRPr="00E66AF8">
        <w:rPr>
          <w:rFonts w:ascii="Arial" w:eastAsiaTheme="majorEastAsia" w:hAnsi="Arial" w:cstheme="majorBidi"/>
          <w:color w:val="AF4C64"/>
          <w:sz w:val="26"/>
          <w:szCs w:val="26"/>
          <w:lang w:val="en-US"/>
        </w:rPr>
        <w:t>Consequential amendments</w:t>
      </w:r>
    </w:p>
    <w:p w14:paraId="1D7AD8E4" w14:textId="236AD030" w:rsidR="00CB6F96" w:rsidRPr="00C14125" w:rsidRDefault="0021273B" w:rsidP="0021273B">
      <w:pPr>
        <w:jc w:val="both"/>
        <w:rPr>
          <w:rFonts w:ascii="Arial" w:hAnsi="Arial" w:cs="Arial"/>
          <w:sz w:val="21"/>
          <w:szCs w:val="26"/>
        </w:rPr>
      </w:pPr>
      <w:r>
        <w:rPr>
          <w:rFonts w:ascii="Arial" w:hAnsi="Arial" w:cs="Arial"/>
          <w:sz w:val="21"/>
          <w:szCs w:val="26"/>
        </w:rPr>
        <w:lastRenderedPageBreak/>
        <w:t xml:space="preserve">The </w:t>
      </w:r>
      <w:r w:rsidR="00E66AF8">
        <w:rPr>
          <w:rFonts w:ascii="Arial" w:hAnsi="Arial" w:cs="Arial"/>
          <w:sz w:val="21"/>
          <w:szCs w:val="26"/>
        </w:rPr>
        <w:t xml:space="preserve">Consultation Draft </w:t>
      </w:r>
      <w:r>
        <w:rPr>
          <w:rFonts w:ascii="Arial" w:hAnsi="Arial" w:cs="Arial"/>
          <w:sz w:val="21"/>
          <w:szCs w:val="26"/>
        </w:rPr>
        <w:t xml:space="preserve">Bill makes </w:t>
      </w:r>
      <w:r w:rsidRPr="00A50170">
        <w:rPr>
          <w:rFonts w:ascii="Arial" w:hAnsi="Arial" w:cs="Arial"/>
          <w:b/>
          <w:sz w:val="21"/>
          <w:szCs w:val="26"/>
        </w:rPr>
        <w:t>consequential amendments</w:t>
      </w:r>
      <w:r>
        <w:rPr>
          <w:rFonts w:ascii="Arial" w:hAnsi="Arial" w:cs="Arial"/>
          <w:sz w:val="21"/>
          <w:szCs w:val="26"/>
        </w:rPr>
        <w:t xml:space="preserve"> to recognise the new failure to protect offence under the respective offence screening schemes in the </w:t>
      </w:r>
      <w:r w:rsidRPr="00E66AF8">
        <w:rPr>
          <w:rFonts w:ascii="Arial" w:hAnsi="Arial" w:cs="Arial"/>
          <w:i/>
          <w:sz w:val="21"/>
          <w:szCs w:val="26"/>
        </w:rPr>
        <w:t>Disability Services Act 2006</w:t>
      </w:r>
      <w:r w:rsidRPr="0021273B">
        <w:rPr>
          <w:rFonts w:ascii="Arial" w:hAnsi="Arial" w:cs="Arial"/>
          <w:sz w:val="21"/>
          <w:szCs w:val="26"/>
        </w:rPr>
        <w:t xml:space="preserve"> and the </w:t>
      </w:r>
      <w:r w:rsidRPr="00E66AF8">
        <w:rPr>
          <w:rFonts w:ascii="Arial" w:hAnsi="Arial" w:cs="Arial"/>
          <w:i/>
          <w:sz w:val="21"/>
          <w:szCs w:val="26"/>
        </w:rPr>
        <w:t>Working with Children (Risk Management and Screening) Act 2000</w:t>
      </w:r>
      <w:r>
        <w:rPr>
          <w:rFonts w:ascii="Arial" w:hAnsi="Arial" w:cs="Arial"/>
          <w:sz w:val="21"/>
          <w:szCs w:val="26"/>
        </w:rPr>
        <w:t>.</w:t>
      </w:r>
    </w:p>
    <w:p w14:paraId="4591FF26" w14:textId="77777777" w:rsidR="006A3637" w:rsidRPr="00CF7A41" w:rsidRDefault="006A3637" w:rsidP="006A3637">
      <w:pPr>
        <w:pStyle w:val="Heading1"/>
      </w:pPr>
      <w:r>
        <w:t>What is the position in other jurisdictions?</w:t>
      </w:r>
    </w:p>
    <w:p w14:paraId="5D6DAA55" w14:textId="2CE64847" w:rsidR="001520B3" w:rsidRPr="00D63DFB" w:rsidRDefault="00C14125" w:rsidP="001E68B1">
      <w:pPr>
        <w:spacing w:line="256" w:lineRule="auto"/>
        <w:jc w:val="both"/>
        <w:rPr>
          <w:rFonts w:ascii="Arial" w:hAnsi="Arial" w:cs="Arial"/>
          <w:sz w:val="21"/>
          <w:szCs w:val="21"/>
        </w:rPr>
      </w:pPr>
      <w:r>
        <w:rPr>
          <w:rFonts w:ascii="Arial" w:hAnsi="Arial" w:cs="Arial"/>
          <w:sz w:val="21"/>
          <w:szCs w:val="21"/>
        </w:rPr>
        <w:t xml:space="preserve">A number of jurisdictions including </w:t>
      </w:r>
      <w:r w:rsidR="007D22D0">
        <w:rPr>
          <w:rFonts w:ascii="Arial" w:hAnsi="Arial" w:cs="Arial"/>
          <w:sz w:val="21"/>
          <w:szCs w:val="21"/>
        </w:rPr>
        <w:t xml:space="preserve">New </w:t>
      </w:r>
      <w:bookmarkStart w:id="0" w:name="_GoBack"/>
      <w:bookmarkEnd w:id="0"/>
      <w:r w:rsidR="004060C5">
        <w:rPr>
          <w:rFonts w:ascii="Arial" w:hAnsi="Arial" w:cs="Arial"/>
          <w:sz w:val="21"/>
          <w:szCs w:val="21"/>
        </w:rPr>
        <w:t>South Wales</w:t>
      </w:r>
      <w:r w:rsidR="006A3637" w:rsidRPr="00D63DFB">
        <w:rPr>
          <w:rFonts w:ascii="Arial" w:hAnsi="Arial" w:cs="Arial"/>
          <w:sz w:val="21"/>
          <w:szCs w:val="21"/>
        </w:rPr>
        <w:t>, Victoria</w:t>
      </w:r>
      <w:r w:rsidR="00D641D3">
        <w:rPr>
          <w:rFonts w:ascii="Arial" w:hAnsi="Arial" w:cs="Arial"/>
          <w:sz w:val="21"/>
          <w:szCs w:val="21"/>
        </w:rPr>
        <w:t xml:space="preserve"> and</w:t>
      </w:r>
      <w:r w:rsidR="006A3637" w:rsidRPr="00D63DFB">
        <w:rPr>
          <w:rFonts w:ascii="Arial" w:hAnsi="Arial" w:cs="Arial"/>
          <w:sz w:val="21"/>
          <w:szCs w:val="21"/>
        </w:rPr>
        <w:t xml:space="preserve"> </w:t>
      </w:r>
      <w:r w:rsidR="004060C5">
        <w:rPr>
          <w:rFonts w:ascii="Arial" w:hAnsi="Arial" w:cs="Arial"/>
          <w:sz w:val="21"/>
          <w:szCs w:val="21"/>
        </w:rPr>
        <w:t xml:space="preserve">the Australian Capital Territory </w:t>
      </w:r>
      <w:r w:rsidR="006A3637" w:rsidRPr="00D63DFB">
        <w:rPr>
          <w:rFonts w:ascii="Arial" w:hAnsi="Arial" w:cs="Arial"/>
          <w:sz w:val="21"/>
          <w:szCs w:val="21"/>
        </w:rPr>
        <w:t xml:space="preserve">have broad offences that apply to people who fail to report child sexual abuse. </w:t>
      </w:r>
      <w:r w:rsidR="001E68B1">
        <w:rPr>
          <w:rFonts w:ascii="Arial" w:hAnsi="Arial" w:cs="Arial"/>
          <w:sz w:val="21"/>
          <w:szCs w:val="21"/>
        </w:rPr>
        <w:t xml:space="preserve">The offences in these jurisdictions </w:t>
      </w:r>
      <w:r w:rsidR="001520B3">
        <w:rPr>
          <w:rFonts w:ascii="Arial" w:hAnsi="Arial" w:cs="Arial"/>
          <w:sz w:val="21"/>
          <w:szCs w:val="21"/>
        </w:rPr>
        <w:t>apply in an institutional context.</w:t>
      </w:r>
      <w:r>
        <w:rPr>
          <w:rFonts w:ascii="Arial" w:hAnsi="Arial" w:cs="Arial"/>
          <w:sz w:val="21"/>
          <w:szCs w:val="21"/>
        </w:rPr>
        <w:t xml:space="preserve"> Several jurisdictions </w:t>
      </w:r>
      <w:r w:rsidR="00E66AF8">
        <w:rPr>
          <w:rFonts w:ascii="Arial" w:hAnsi="Arial" w:cs="Arial"/>
          <w:sz w:val="21"/>
          <w:szCs w:val="21"/>
        </w:rPr>
        <w:t xml:space="preserve">have </w:t>
      </w:r>
      <w:r w:rsidR="006C0C66">
        <w:rPr>
          <w:rFonts w:ascii="Arial" w:hAnsi="Arial" w:cs="Arial"/>
          <w:sz w:val="21"/>
          <w:szCs w:val="21"/>
        </w:rPr>
        <w:t xml:space="preserve">also </w:t>
      </w:r>
      <w:r>
        <w:rPr>
          <w:rFonts w:ascii="Arial" w:hAnsi="Arial" w:cs="Arial"/>
          <w:sz w:val="21"/>
          <w:szCs w:val="21"/>
        </w:rPr>
        <w:t>enacted failure to protect offence</w:t>
      </w:r>
      <w:r w:rsidR="00E66AF8">
        <w:rPr>
          <w:rFonts w:ascii="Arial" w:hAnsi="Arial" w:cs="Arial"/>
          <w:sz w:val="21"/>
          <w:szCs w:val="21"/>
        </w:rPr>
        <w:t>s</w:t>
      </w:r>
      <w:r w:rsidR="005833BE">
        <w:rPr>
          <w:rFonts w:ascii="Arial" w:hAnsi="Arial" w:cs="Arial"/>
          <w:sz w:val="21"/>
          <w:szCs w:val="21"/>
        </w:rPr>
        <w:t>.</w:t>
      </w:r>
    </w:p>
    <w:p w14:paraId="532C71BE" w14:textId="77777777" w:rsidR="00D63DFB" w:rsidRDefault="00D63DFB" w:rsidP="00D63DFB">
      <w:pPr>
        <w:pStyle w:val="Heading1"/>
      </w:pPr>
      <w:r>
        <w:t>Religious confessions</w:t>
      </w:r>
    </w:p>
    <w:p w14:paraId="0A4C34D4" w14:textId="6EA375BF" w:rsidR="00C50373" w:rsidRDefault="00B71EF0" w:rsidP="00CB1FE7">
      <w:pPr>
        <w:pStyle w:val="normalbeforebullet"/>
        <w:numPr>
          <w:ilvl w:val="0"/>
          <w:numId w:val="0"/>
        </w:numPr>
      </w:pPr>
      <w:r>
        <w:t xml:space="preserve">Unlike jurisdictions operating </w:t>
      </w:r>
      <w:r w:rsidR="00DD4D3B">
        <w:t xml:space="preserve">under the </w:t>
      </w:r>
      <w:r w:rsidR="00D63DFB">
        <w:t>Uniform Evidence Law</w:t>
      </w:r>
      <w:r>
        <w:t>, in Queensland</w:t>
      </w:r>
      <w:r w:rsidR="00D425DA">
        <w:t xml:space="preserve"> </w:t>
      </w:r>
      <w:r>
        <w:t>there is no</w:t>
      </w:r>
      <w:r w:rsidR="00D87DC8">
        <w:t xml:space="preserve"> </w:t>
      </w:r>
      <w:r w:rsidR="00D63DFB" w:rsidRPr="00A37C7D">
        <w:t>statutory evidential privilege applying to religious confessions</w:t>
      </w:r>
      <w:r w:rsidR="00D87DC8">
        <w:t>.</w:t>
      </w:r>
      <w:r w:rsidR="00D63DFB" w:rsidRPr="00A37C7D">
        <w:t xml:space="preserve"> </w:t>
      </w:r>
      <w:r w:rsidR="004060C5">
        <w:t xml:space="preserve">However, the </w:t>
      </w:r>
      <w:r w:rsidR="00760C36">
        <w:rPr>
          <w:rFonts w:cs="Arial"/>
          <w:szCs w:val="21"/>
        </w:rPr>
        <w:t>Consultation Draft Bill</w:t>
      </w:r>
      <w:r w:rsidR="004060C5">
        <w:t xml:space="preserve"> contains amendments to make it clear the failure to report offence applies to any information disclosed in or in connection with a religious confession</w:t>
      </w:r>
      <w:r w:rsidR="00C50373">
        <w:t xml:space="preserve"> in line with </w:t>
      </w:r>
      <w:r w:rsidR="00AF2C39">
        <w:t>the Royal Commission recommendation</w:t>
      </w:r>
      <w:r w:rsidR="004060C5">
        <w:t>s</w:t>
      </w:r>
      <w:r w:rsidR="00FD5436">
        <w:t>.</w:t>
      </w:r>
      <w:r w:rsidR="00AF2C39">
        <w:rPr>
          <w:rStyle w:val="FootnoteReference"/>
        </w:rPr>
        <w:footnoteReference w:id="5"/>
      </w:r>
    </w:p>
    <w:p w14:paraId="3FA2CDF6" w14:textId="77777777" w:rsidR="005548BE" w:rsidRDefault="005548BE" w:rsidP="00CB1FE7">
      <w:pPr>
        <w:pStyle w:val="normalbeforebullet"/>
        <w:numPr>
          <w:ilvl w:val="0"/>
          <w:numId w:val="0"/>
        </w:numPr>
      </w:pPr>
    </w:p>
    <w:p w14:paraId="1FE39AEC" w14:textId="37F06819" w:rsidR="005548BE" w:rsidRDefault="005548BE" w:rsidP="00CB1FE7">
      <w:pPr>
        <w:pStyle w:val="normalbeforebullet"/>
        <w:numPr>
          <w:ilvl w:val="0"/>
          <w:numId w:val="0"/>
        </w:numPr>
      </w:pPr>
      <w:r w:rsidRPr="005548BE">
        <w:t xml:space="preserve">In </w:t>
      </w:r>
      <w:r w:rsidR="00950791">
        <w:t>some</w:t>
      </w:r>
      <w:r w:rsidRPr="005548BE">
        <w:t xml:space="preserve"> jurisdictions, recommendation 35 (relating to religious confessions in the context of the failure to report offence) remains under consideration. At the Council of Attorneys-General (CAG) meeting on 28 June 2019, it was agreed that a working group be established, to consider the Royal Commission’s recommendations relating to confessional privilege as it applies to laws for reporting child abuse with the working group to report back to CAG out-of-session in 3 months.</w:t>
      </w:r>
    </w:p>
    <w:p w14:paraId="28935AFF" w14:textId="7C955794" w:rsidR="00814F05" w:rsidRDefault="004060C5" w:rsidP="00814F05">
      <w:pPr>
        <w:pStyle w:val="Heading1"/>
      </w:pPr>
      <w:r>
        <w:t xml:space="preserve">Does the offence override existing </w:t>
      </w:r>
      <w:r w:rsidR="00814F05">
        <w:t>reporting</w:t>
      </w:r>
      <w:r>
        <w:t xml:space="preserve"> obligations</w:t>
      </w:r>
      <w:r w:rsidR="00814F05">
        <w:t>?</w:t>
      </w:r>
    </w:p>
    <w:p w14:paraId="04AF9DC5" w14:textId="163C4640" w:rsidR="008B4E2B" w:rsidRDefault="00A75AAC" w:rsidP="00E66AF8">
      <w:pPr>
        <w:pStyle w:val="normalbeforebullet"/>
        <w:numPr>
          <w:ilvl w:val="0"/>
          <w:numId w:val="0"/>
        </w:numPr>
      </w:pPr>
      <w:r w:rsidRPr="00A75AAC">
        <w:t xml:space="preserve">The </w:t>
      </w:r>
      <w:r w:rsidR="00760C36" w:rsidRPr="00196AEA">
        <w:t>Consultation Draft Bill</w:t>
      </w:r>
      <w:r w:rsidRPr="00A75AAC">
        <w:t xml:space="preserve"> sets out within the </w:t>
      </w:r>
      <w:r w:rsidR="00760C36">
        <w:t>new failure to report offence</w:t>
      </w:r>
      <w:r w:rsidRPr="00A75AAC">
        <w:t xml:space="preserve"> a non-exhaustive </w:t>
      </w:r>
      <w:r>
        <w:t xml:space="preserve">list of </w:t>
      </w:r>
      <w:r w:rsidR="008B4E2B">
        <w:t>circumstances</w:t>
      </w:r>
      <w:r w:rsidRPr="00A75AAC">
        <w:t xml:space="preserve"> that constitute a ‘reasonable excuse’</w:t>
      </w:r>
      <w:r>
        <w:t>. Previous reporting under a different legislative provision is identified as one such reasonable excuse. A</w:t>
      </w:r>
      <w:r w:rsidR="00AF2C39">
        <w:t>void</w:t>
      </w:r>
      <w:r>
        <w:t>ing</w:t>
      </w:r>
      <w:r w:rsidR="00AF2C39">
        <w:t xml:space="preserve"> duplication </w:t>
      </w:r>
      <w:r w:rsidR="00DD4D3B">
        <w:t>of reporting under the Queensland mandatory reporting scheme</w:t>
      </w:r>
      <w:r w:rsidR="004060C5">
        <w:t xml:space="preserve"> </w:t>
      </w:r>
      <w:r>
        <w:t xml:space="preserve">is </w:t>
      </w:r>
      <w:r w:rsidR="004060C5">
        <w:t>consistent with the Royal Commission’s recommendations</w:t>
      </w:r>
      <w:r w:rsidR="001611BF">
        <w:t>.</w:t>
      </w:r>
      <w:r w:rsidR="004060C5" w:rsidRPr="001611BF">
        <w:rPr>
          <w:rStyle w:val="FootnoteReference"/>
        </w:rPr>
        <w:footnoteReference w:id="6"/>
      </w:r>
      <w:r>
        <w:t xml:space="preserve"> </w:t>
      </w:r>
    </w:p>
    <w:p w14:paraId="5EF9AD51" w14:textId="6FC00EEE" w:rsidR="00290D5C" w:rsidRDefault="00290D5C" w:rsidP="00E66AF8">
      <w:pPr>
        <w:pStyle w:val="normalbeforebullet"/>
        <w:numPr>
          <w:ilvl w:val="0"/>
          <w:numId w:val="0"/>
        </w:numPr>
      </w:pPr>
    </w:p>
    <w:p w14:paraId="45D7D373" w14:textId="32160418" w:rsidR="00290D5C" w:rsidRPr="00E66AF8" w:rsidRDefault="00290D5C" w:rsidP="00E66AF8">
      <w:pPr>
        <w:pStyle w:val="normalbeforebullet"/>
        <w:numPr>
          <w:ilvl w:val="0"/>
          <w:numId w:val="0"/>
        </w:numPr>
        <w:rPr>
          <w:rFonts w:eastAsiaTheme="majorEastAsia" w:cstheme="majorBidi"/>
          <w:color w:val="AF4C64"/>
          <w:sz w:val="26"/>
          <w:szCs w:val="26"/>
        </w:rPr>
      </w:pPr>
      <w:r w:rsidRPr="00E66AF8">
        <w:rPr>
          <w:rFonts w:eastAsiaTheme="majorEastAsia" w:cstheme="majorBidi"/>
          <w:color w:val="AF4C64"/>
          <w:sz w:val="26"/>
          <w:szCs w:val="26"/>
        </w:rPr>
        <w:t>Further reading</w:t>
      </w:r>
    </w:p>
    <w:p w14:paraId="068E262B" w14:textId="2E2F8155" w:rsidR="00B75378" w:rsidRDefault="007645CD" w:rsidP="00760C36">
      <w:pPr>
        <w:jc w:val="both"/>
        <w:rPr>
          <w:rStyle w:val="Hyperlink"/>
          <w:rFonts w:ascii="Arial" w:hAnsi="Arial" w:cs="Arial"/>
        </w:rPr>
      </w:pPr>
      <w:r w:rsidRPr="00F1219F">
        <w:rPr>
          <w:rFonts w:ascii="Arial" w:hAnsi="Arial"/>
          <w:sz w:val="21"/>
          <w:szCs w:val="24"/>
          <w:lang w:val="en-US"/>
        </w:rPr>
        <w:t>For more details on the Royal Commission recommendations:</w:t>
      </w:r>
      <w:r w:rsidRPr="007645CD">
        <w:rPr>
          <w:rFonts w:cs="Arial"/>
          <w:color w:val="1F497D"/>
        </w:rPr>
        <w:t xml:space="preserve"> </w:t>
      </w:r>
      <w:hyperlink r:id="rId11" w:history="1">
        <w:r w:rsidR="001611BF" w:rsidRPr="00F1219F">
          <w:rPr>
            <w:rStyle w:val="Hyperlink"/>
            <w:rFonts w:ascii="Arial" w:hAnsi="Arial" w:cs="Arial"/>
          </w:rPr>
          <w:t>https://www.childabuseroyalcommission.gov.au/media-releases/report-criminal-justice-released</w:t>
        </w:r>
      </w:hyperlink>
    </w:p>
    <w:p w14:paraId="384C7EA1" w14:textId="77777777" w:rsidR="00496D5F" w:rsidRDefault="00496D5F" w:rsidP="00496D5F">
      <w:pPr>
        <w:jc w:val="both"/>
        <w:rPr>
          <w:rFonts w:ascii="Arial" w:eastAsiaTheme="majorEastAsia" w:hAnsi="Arial" w:cs="Arial"/>
          <w:b/>
          <w:color w:val="AF4C64"/>
          <w:sz w:val="20"/>
          <w:szCs w:val="20"/>
          <w:lang w:val="en-US"/>
        </w:rPr>
      </w:pPr>
    </w:p>
    <w:p w14:paraId="4D28E46E" w14:textId="012E8456" w:rsidR="00496D5F" w:rsidRPr="001F3159" w:rsidRDefault="00496D5F" w:rsidP="00496D5F">
      <w:pPr>
        <w:jc w:val="both"/>
        <w:rPr>
          <w:rFonts w:ascii="Arial" w:eastAsiaTheme="majorEastAsia" w:hAnsi="Arial" w:cs="Arial"/>
          <w:b/>
          <w:color w:val="AF4C64"/>
          <w:sz w:val="20"/>
          <w:szCs w:val="20"/>
          <w:lang w:val="en-US"/>
        </w:rPr>
      </w:pPr>
      <w:r w:rsidRPr="001F3159">
        <w:rPr>
          <w:rFonts w:ascii="Arial" w:eastAsiaTheme="majorEastAsia" w:hAnsi="Arial" w:cs="Arial"/>
          <w:b/>
          <w:color w:val="AF4C64"/>
          <w:sz w:val="20"/>
          <w:szCs w:val="20"/>
          <w:lang w:val="en-US"/>
        </w:rPr>
        <w:t xml:space="preserve">Submissions on the Consultation Draft Bill are due by 5pm Friday, 20 September 2019 to </w:t>
      </w:r>
      <w:hyperlink r:id="rId12" w:history="1">
        <w:r w:rsidRPr="001F3159">
          <w:rPr>
            <w:rFonts w:ascii="Arial" w:eastAsiaTheme="majorEastAsia" w:hAnsi="Arial" w:cs="Arial"/>
            <w:b/>
            <w:color w:val="AF4C64"/>
            <w:sz w:val="20"/>
            <w:szCs w:val="20"/>
            <w:lang w:val="en-US"/>
          </w:rPr>
          <w:t>childsexualoffencesreform@justice.qld.gov.au</w:t>
        </w:r>
      </w:hyperlink>
      <w:r w:rsidRPr="001F3159">
        <w:rPr>
          <w:rFonts w:ascii="Arial" w:eastAsiaTheme="majorEastAsia" w:hAnsi="Arial" w:cs="Arial"/>
          <w:b/>
          <w:color w:val="AF4C64"/>
          <w:sz w:val="20"/>
          <w:szCs w:val="20"/>
          <w:lang w:val="en-US"/>
        </w:rPr>
        <w:t xml:space="preserve"> or GPO Box 149 BRISBANE QLD 4001. For more information visit </w:t>
      </w:r>
      <w:hyperlink r:id="rId13" w:history="1">
        <w:r w:rsidRPr="00132708">
          <w:rPr>
            <w:rStyle w:val="Hyperlink"/>
            <w:rFonts w:ascii="Arial" w:eastAsiaTheme="majorEastAsia" w:hAnsi="Arial" w:cs="Arial"/>
            <w:b/>
            <w:sz w:val="20"/>
            <w:szCs w:val="20"/>
            <w:lang w:val="en-US"/>
          </w:rPr>
          <w:t>www.GetInvolved.qld.gov.au</w:t>
        </w:r>
      </w:hyperlink>
    </w:p>
    <w:p w14:paraId="6C96A978" w14:textId="77777777" w:rsidR="00496D5F" w:rsidRPr="00F1219F" w:rsidRDefault="00496D5F" w:rsidP="00760C36">
      <w:pPr>
        <w:jc w:val="both"/>
        <w:rPr>
          <w:rFonts w:ascii="Arial" w:eastAsia="Times New Roman" w:hAnsi="Arial" w:cs="Arial"/>
          <w:color w:val="000000"/>
          <w:sz w:val="21"/>
          <w:szCs w:val="21"/>
          <w:lang w:val="en-US" w:eastAsia="en-AU"/>
        </w:rPr>
      </w:pPr>
    </w:p>
    <w:sectPr w:rsidR="00496D5F" w:rsidRPr="00F1219F" w:rsidSect="00D25540">
      <w:headerReference w:type="first" r:id="rId14"/>
      <w:footerReference w:type="first" r:id="rId15"/>
      <w:type w:val="continuous"/>
      <w:pgSz w:w="11900" w:h="16840"/>
      <w:pgMar w:top="1440" w:right="1021" w:bottom="1440" w:left="1021" w:header="709" w:footer="62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66100" w14:textId="77777777" w:rsidR="007D67B3" w:rsidRDefault="007D67B3" w:rsidP="006A0D8D">
      <w:pPr>
        <w:spacing w:after="0" w:line="240" w:lineRule="auto"/>
      </w:pPr>
      <w:r>
        <w:separator/>
      </w:r>
    </w:p>
  </w:endnote>
  <w:endnote w:type="continuationSeparator" w:id="0">
    <w:p w14:paraId="5CBA4F2A" w14:textId="77777777" w:rsidR="007D67B3" w:rsidRDefault="007D67B3" w:rsidP="006A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7DCE" w14:textId="77777777" w:rsidR="006A3637" w:rsidRDefault="006A3637" w:rsidP="00D25540">
    <w:pPr>
      <w:pStyle w:val="Footer"/>
      <w:tabs>
        <w:tab w:val="clear" w:pos="9026"/>
      </w:tabs>
    </w:pPr>
    <w:r>
      <w:rPr>
        <w:noProof/>
        <w:lang w:val="en-AU" w:eastAsia="en-AU"/>
      </w:rPr>
      <w:drawing>
        <wp:anchor distT="0" distB="0" distL="114300" distR="114300" simplePos="0" relativeHeight="251660288" behindDoc="1" locked="1" layoutInCell="1" allowOverlap="1" wp14:anchorId="0D84DD0C" wp14:editId="3D20D13A">
          <wp:simplePos x="0" y="0"/>
          <wp:positionH relativeFrom="page">
            <wp:align>center</wp:align>
          </wp:positionH>
          <wp:positionV relativeFrom="page">
            <wp:align>bottom</wp:align>
          </wp:positionV>
          <wp:extent cx="7560000" cy="125640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26B623C6" w14:textId="77777777" w:rsidR="006A3637" w:rsidRPr="00541E30" w:rsidRDefault="006A3637" w:rsidP="00D25540">
    <w:pPr>
      <w:pStyle w:val="Footer"/>
    </w:pPr>
  </w:p>
  <w:p w14:paraId="348737E6" w14:textId="77777777" w:rsidR="006A3637" w:rsidRPr="004A31F3" w:rsidRDefault="006A3637" w:rsidP="00D25540">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7F8C" w14:textId="77777777" w:rsidR="006A3637" w:rsidRDefault="006A3637" w:rsidP="00D25540">
    <w:pPr>
      <w:pStyle w:val="Footer"/>
      <w:tabs>
        <w:tab w:val="clear" w:pos="9026"/>
      </w:tabs>
    </w:pPr>
  </w:p>
  <w:p w14:paraId="401EE677" w14:textId="77777777" w:rsidR="006A3637" w:rsidRPr="00541E30" w:rsidRDefault="006A3637" w:rsidP="00D25540">
    <w:pPr>
      <w:pStyle w:val="Footer"/>
    </w:pPr>
    <w:r>
      <w:rPr>
        <w:noProof/>
        <w:lang w:val="en-AU" w:eastAsia="en-AU"/>
      </w:rPr>
      <w:drawing>
        <wp:anchor distT="0" distB="0" distL="114300" distR="114300" simplePos="0" relativeHeight="251658240" behindDoc="1" locked="1" layoutInCell="1" allowOverlap="1" wp14:anchorId="163AEA6B" wp14:editId="6D3FBD72">
          <wp:simplePos x="0" y="0"/>
          <wp:positionH relativeFrom="page">
            <wp:align>left</wp:align>
          </wp:positionH>
          <wp:positionV relativeFrom="page">
            <wp:align>bottom</wp:align>
          </wp:positionV>
          <wp:extent cx="7560000" cy="1256400"/>
          <wp:effectExtent l="0" t="0" r="317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14C5" w14:textId="77777777" w:rsidR="00D25540" w:rsidRPr="00F74751" w:rsidRDefault="006A3637" w:rsidP="00D25540">
    <w:pPr>
      <w:pStyle w:val="Footer"/>
    </w:pPr>
    <w:r w:rsidRPr="00ED6FA4">
      <w:rPr>
        <w:noProof/>
        <w:lang w:val="en-AU" w:eastAsia="en-AU"/>
      </w:rPr>
      <w:drawing>
        <wp:anchor distT="0" distB="0" distL="114300" distR="114300" simplePos="0" relativeHeight="251655168" behindDoc="1" locked="0" layoutInCell="1" allowOverlap="1" wp14:anchorId="4153AF8E" wp14:editId="4282BF37">
          <wp:simplePos x="0" y="0"/>
          <wp:positionH relativeFrom="page">
            <wp:align>right</wp:align>
          </wp:positionH>
          <wp:positionV relativeFrom="paragraph">
            <wp:posOffset>123190</wp:posOffset>
          </wp:positionV>
          <wp:extent cx="7571740" cy="1030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158_CS Corporate Department A4 TEMPLATES FOOTER 2.jpg"/>
                  <pic:cNvPicPr/>
                </pic:nvPicPr>
                <pic:blipFill>
                  <a:blip r:embed="rId1">
                    <a:extLst>
                      <a:ext uri="{28A0092B-C50C-407E-A947-70E740481C1C}">
                        <a14:useLocalDpi xmlns:a14="http://schemas.microsoft.com/office/drawing/2010/main" val="0"/>
                      </a:ext>
                    </a:extLst>
                  </a:blip>
                  <a:stretch>
                    <a:fillRect/>
                  </a:stretch>
                </pic:blipFill>
                <pic:spPr>
                  <a:xfrm>
                    <a:off x="0" y="0"/>
                    <a:ext cx="7571740" cy="1030985"/>
                  </a:xfrm>
                  <a:prstGeom prst="rect">
                    <a:avLst/>
                  </a:prstGeom>
                </pic:spPr>
              </pic:pic>
            </a:graphicData>
          </a:graphic>
          <wp14:sizeRelH relativeFrom="page">
            <wp14:pctWidth>0</wp14:pctWidth>
          </wp14:sizeRelH>
          <wp14:sizeRelV relativeFrom="page">
            <wp14:pctHeight>0</wp14:pctHeight>
          </wp14:sizeRelV>
        </wp:anchor>
      </w:drawing>
    </w:r>
  </w:p>
  <w:p w14:paraId="21A08DFA" w14:textId="77777777" w:rsidR="00D25540" w:rsidRPr="00F74751" w:rsidRDefault="00D25540">
    <w:pPr>
      <w:pStyle w:val="Footer"/>
    </w:pPr>
  </w:p>
  <w:p w14:paraId="27738371" w14:textId="77777777" w:rsidR="00D25540" w:rsidRPr="00F74751" w:rsidRDefault="00D25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86C42" w14:textId="77777777" w:rsidR="007D67B3" w:rsidRDefault="007D67B3" w:rsidP="006A0D8D">
      <w:pPr>
        <w:spacing w:after="0" w:line="240" w:lineRule="auto"/>
      </w:pPr>
      <w:r>
        <w:separator/>
      </w:r>
    </w:p>
  </w:footnote>
  <w:footnote w:type="continuationSeparator" w:id="0">
    <w:p w14:paraId="677147D7" w14:textId="77777777" w:rsidR="007D67B3" w:rsidRDefault="007D67B3" w:rsidP="006A0D8D">
      <w:pPr>
        <w:spacing w:after="0" w:line="240" w:lineRule="auto"/>
      </w:pPr>
      <w:r>
        <w:continuationSeparator/>
      </w:r>
    </w:p>
  </w:footnote>
  <w:footnote w:id="1">
    <w:p w14:paraId="2CEE78A6" w14:textId="278EB180" w:rsidR="006A3637" w:rsidRDefault="006A3637" w:rsidP="006A3637">
      <w:pPr>
        <w:pStyle w:val="FootnoteText"/>
      </w:pPr>
      <w:r>
        <w:rPr>
          <w:rStyle w:val="FootnoteReference"/>
        </w:rPr>
        <w:footnoteRef/>
      </w:r>
      <w:r>
        <w:t xml:space="preserve"> Recommendation 33 and 34 </w:t>
      </w:r>
    </w:p>
  </w:footnote>
  <w:footnote w:id="2">
    <w:p w14:paraId="53973FB6" w14:textId="77777777" w:rsidR="00116E26" w:rsidRDefault="00116E26">
      <w:pPr>
        <w:pStyle w:val="FootnoteText"/>
      </w:pPr>
      <w:r>
        <w:rPr>
          <w:rStyle w:val="FootnoteReference"/>
        </w:rPr>
        <w:footnoteRef/>
      </w:r>
      <w:r>
        <w:t xml:space="preserve"> Recommendation 35</w:t>
      </w:r>
    </w:p>
  </w:footnote>
  <w:footnote w:id="3">
    <w:p w14:paraId="6C7406ED" w14:textId="283C4981" w:rsidR="00AB3668" w:rsidRDefault="00AB3668">
      <w:pPr>
        <w:pStyle w:val="FootnoteText"/>
      </w:pPr>
      <w:r>
        <w:rPr>
          <w:rStyle w:val="FootnoteReference"/>
        </w:rPr>
        <w:footnoteRef/>
      </w:r>
      <w:r>
        <w:t xml:space="preserve"> Recommendation 36</w:t>
      </w:r>
    </w:p>
  </w:footnote>
  <w:footnote w:id="4">
    <w:p w14:paraId="3A3A9BD2" w14:textId="47A86E75" w:rsidR="00690EC2" w:rsidRDefault="00690EC2">
      <w:pPr>
        <w:pStyle w:val="FootnoteText"/>
      </w:pPr>
      <w:r>
        <w:rPr>
          <w:rStyle w:val="FootnoteReference"/>
        </w:rPr>
        <w:footnoteRef/>
      </w:r>
      <w:r>
        <w:t xml:space="preserve"> </w:t>
      </w:r>
      <w:r w:rsidR="00AB3668">
        <w:t>Criminal Justice Report Parts III-VI 246.</w:t>
      </w:r>
    </w:p>
  </w:footnote>
  <w:footnote w:id="5">
    <w:p w14:paraId="7578AC84" w14:textId="27070F6D" w:rsidR="00AF2C39" w:rsidRDefault="00AF2C39" w:rsidP="00AF2C39">
      <w:pPr>
        <w:pStyle w:val="FootnoteText"/>
      </w:pPr>
      <w:r>
        <w:rPr>
          <w:rStyle w:val="FootnoteReference"/>
        </w:rPr>
        <w:footnoteRef/>
      </w:r>
      <w:r>
        <w:t xml:space="preserve"> Recommendation 35</w:t>
      </w:r>
    </w:p>
  </w:footnote>
  <w:footnote w:id="6">
    <w:p w14:paraId="317F2D01" w14:textId="77777777" w:rsidR="004060C5" w:rsidRDefault="004060C5">
      <w:pPr>
        <w:pStyle w:val="FootnoteText"/>
      </w:pPr>
      <w:r>
        <w:rPr>
          <w:rStyle w:val="FootnoteReference"/>
        </w:rPr>
        <w:footnoteRef/>
      </w:r>
      <w:r>
        <w:t xml:space="preserve"> Recommendation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D1A9" w14:textId="16E4E86D" w:rsidR="006A3637" w:rsidRPr="00541E30" w:rsidRDefault="006A3637" w:rsidP="00D25540">
    <w:pPr>
      <w:pStyle w:val="Header"/>
    </w:pPr>
    <w:r>
      <w:rPr>
        <w:noProof/>
        <w:lang w:val="en-AU" w:eastAsia="en-AU"/>
      </w:rPr>
      <mc:AlternateContent>
        <mc:Choice Requires="wps">
          <w:drawing>
            <wp:anchor distT="0" distB="0" distL="114300" distR="114300" simplePos="0" relativeHeight="251657216" behindDoc="0" locked="0" layoutInCell="1" allowOverlap="1" wp14:anchorId="2F077CEE" wp14:editId="4D508EA7">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2950D5A9" w14:textId="07CFC1C8" w:rsidR="006A3637" w:rsidRPr="009C4922" w:rsidRDefault="0073641A" w:rsidP="00D25540">
                          <w:pPr>
                            <w:pStyle w:val="Documenttypeinheader"/>
                          </w:pPr>
                          <w:r>
                            <w:t>Fact</w:t>
                          </w:r>
                          <w:r w:rsidR="00B83DC4">
                            <w:t xml:space="preserve"> </w:t>
                          </w:r>
                          <w:r w:rsidR="006A3637" w:rsidRPr="009C4922">
                            <w:t>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77CEE" id="_x0000_t202" coordsize="21600,21600" o:spt="202" path="m,l,21600r21600,l21600,xe">
              <v:stroke joinstyle="miter"/>
              <v:path gradientshapeok="t" o:connecttype="rect"/>
            </v:shapetype>
            <v:shape id="Text Box 1" o:spid="_x0000_s1026" type="#_x0000_t202" style="position:absolute;margin-left:-9.95pt;margin-top:-27.7pt;width:158.2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2950D5A9" w14:textId="07CFC1C8" w:rsidR="006A3637" w:rsidRPr="009C4922" w:rsidRDefault="0073641A" w:rsidP="00D25540">
                    <w:pPr>
                      <w:pStyle w:val="Documenttypeinheader"/>
                    </w:pPr>
                    <w:r>
                      <w:t>Fact</w:t>
                    </w:r>
                    <w:r w:rsidR="00B83DC4">
                      <w:t xml:space="preserve"> </w:t>
                    </w:r>
                    <w:r w:rsidR="006A3637" w:rsidRPr="009C4922">
                      <w:t>sheet</w:t>
                    </w:r>
                  </w:p>
                </w:txbxContent>
              </v:textbox>
            </v:shape>
          </w:pict>
        </mc:Fallback>
      </mc:AlternateContent>
    </w:r>
    <w:r>
      <w:rPr>
        <w:noProof/>
        <w:lang w:val="en-AU" w:eastAsia="en-AU"/>
      </w:rPr>
      <w:drawing>
        <wp:anchor distT="0" distB="0" distL="114300" distR="114300" simplePos="0" relativeHeight="251659264" behindDoc="1" locked="1" layoutInCell="1" allowOverlap="1" wp14:anchorId="267D6E7E" wp14:editId="350498BD">
          <wp:simplePos x="0" y="0"/>
          <wp:positionH relativeFrom="page">
            <wp:align>center</wp:align>
          </wp:positionH>
          <wp:positionV relativeFrom="page">
            <wp:posOffset>0</wp:posOffset>
          </wp:positionV>
          <wp:extent cx="7560000" cy="1288800"/>
          <wp:effectExtent l="0" t="0" r="317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4144" behindDoc="0" locked="0" layoutInCell="1" allowOverlap="1" wp14:anchorId="0C6450A6" wp14:editId="7F769671">
              <wp:simplePos x="0" y="0"/>
              <wp:positionH relativeFrom="page">
                <wp:posOffset>-107646</wp:posOffset>
              </wp:positionH>
              <wp:positionV relativeFrom="paragraph">
                <wp:posOffset>-356870</wp:posOffset>
              </wp:positionV>
              <wp:extent cx="70129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70129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DF92CF" id="Straight Connector 2"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pt,-28.1pt" to="543.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xY0AEAAAMEAAAOAAAAZHJzL2Uyb0RvYy54bWysU9uO0zAQfUfiHyy/01y04hI13YeulhcE&#10;FQsf4DrjxJJvGpum/XvGbpuuAAmB9sXJ2HPOzDker++P1rADYNTe9bxZ1ZyBk37Qbuz592+Pb95z&#10;FpNwgzDeQc9PEPn95vWr9Rw6aP3kzQDIiMTFbg49n1IKXVVFOYEVceUDODpUHq1IFOJYDShmYrem&#10;auv6bTV7HAJ6CTHS7sP5kG8Kv1Ig0xelIiRmek69pbJiWfd5rTZr0Y0owqTlpQ3xH11YoR0VXage&#10;RBLsB+rfqKyW6KNXaSW9rbxSWkLRQGqa+hc1T5MIULSQOTEsNsWXo5WfDztkeuh5y5kTlq7oKaHQ&#10;45TY1jtHBnpkbfZpDrGj9K3b4SWKYYdZ9FGhzV+Sw47F29PiLRwTk7T5rm7aD3d0BfJ6Vt2AAWP6&#10;CN6y/NNzo12WLTpx+BQTFaPUa0reNi6v0Rs9PGpjSpAHBrYG2UHQVe/HJrdMuGdZFGVklYWcWy9/&#10;6WTgzPoVFFlBzTalehnCG6eQEly68hpH2RmmqIMFWP8deMnPUCgD+i/gBVEqe5cWsNXO45+qp+O1&#10;ZXXOvzpw1p0t2PvhVC61WEOTVpy7vIo8ys/jAr+93c1PAAAA//8DAFBLAwQUAAYACAAAACEA9HaN&#10;QeEAAAAMAQAADwAAAGRycy9kb3ducmV2LnhtbEyPQUvEMBCF74L/IYzgRXaTXXRbatOlyCoIgrr2&#10;4i3bjE21mZQm3dZ/bxYEvc3Me7z5Xr6dbceOOPjWkYTVUgBDqp1uqZFQvd0vUmA+KNKqc4QSvtHD&#10;tjg/y1Wm3USveNyHhsUQ8pmSYELoM859bdAqv3Q9UtQ+3GBViOvQcD2oKYbbjq+F2HCrWoofjOrx&#10;zmD9tR+thF05iffy6WqXjtVcPZoH/pm8PEt5eTGXt8ACzuHPDCf8iA5FZDq4kbRnnYTFKoldQhxu&#10;NmtgJ4dIk2tgh98TL3L+v0TxAwAA//8DAFBLAQItABQABgAIAAAAIQC2gziS/gAAAOEBAAATAAAA&#10;AAAAAAAAAAAAAAAAAABbQ29udGVudF9UeXBlc10ueG1sUEsBAi0AFAAGAAgAAAAhADj9If/WAAAA&#10;lAEAAAsAAAAAAAAAAAAAAAAALwEAAF9yZWxzLy5yZWxzUEsBAi0AFAAGAAgAAAAhAAJX3FjQAQAA&#10;AwQAAA4AAAAAAAAAAAAAAAAALgIAAGRycy9lMm9Eb2MueG1sUEsBAi0AFAAGAAgAAAAhAPR2jUHh&#10;AAAADAEAAA8AAAAAAAAAAAAAAAAAKgQAAGRycy9kb3ducmV2LnhtbFBLBQYAAAAABAAEAPMAAAA4&#10;BQAAAAA=&#10;" strokecolor="white [3212]" strokeweight=".5pt">
              <v:stroke joinstyle="miter"/>
              <w10:wrap anchorx="page"/>
            </v:line>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0376585A" wp14:editId="6E282C5D">
              <wp:simplePos x="0" y="0"/>
              <wp:positionH relativeFrom="column">
                <wp:posOffset>3222321</wp:posOffset>
              </wp:positionH>
              <wp:positionV relativeFrom="paragraph">
                <wp:posOffset>-577850</wp:posOffset>
              </wp:positionV>
              <wp:extent cx="3116580" cy="3016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116580" cy="301625"/>
                      </a:xfrm>
                      <a:prstGeom prst="rect">
                        <a:avLst/>
                      </a:prstGeom>
                      <a:noFill/>
                      <a:ln w="6350">
                        <a:noFill/>
                      </a:ln>
                    </wps:spPr>
                    <wps:txbx>
                      <w:txbxContent>
                        <w:p w14:paraId="27CB2E78" w14:textId="77777777" w:rsidR="006A3637" w:rsidRPr="00897277" w:rsidRDefault="006A3637" w:rsidP="00D25540">
                          <w:pPr>
                            <w:pStyle w:val="DJAGnameinheader"/>
                          </w:pPr>
                          <w:r w:rsidRPr="00897277">
                            <w:t>Department of Justice and Attorney-General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585A" id="Text Box 3" o:spid="_x0000_s1027" type="#_x0000_t202" style="position:absolute;margin-left:253.75pt;margin-top:-45.5pt;width:245.4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hXLgIAAFgEAAAOAAAAZHJzL2Uyb0RvYy54bWysVE2P2jAQvVfqf7B8L0n46hYRVnRXVJXQ&#10;7kpQ7dk4Nolke1zbkNBf37EDLNr2VPVixjOT+Xjvmfl9pxU5CucbMCUtBjklwnCoGrMv6Y/t6tMd&#10;JT4wUzEFRpT0JDy9X3z8MG/tTAyhBlUJR7CI8bPWlrQOwc6yzPNaaOYHYIXBoASnWcCr22eVYy1W&#10;1yob5vk0a8FV1gEX3qP3sQ/SRaovpeDhWUovAlElxdlCOl06d/HMFnM22ztm64afx2D/MIVmjcGm&#10;11KPLDBycM0fpXTDHXiQYcBBZyBlw0XaAbcp8nfbbGpmRdoFwfH2CpP/f2X50/HFkaYq6YgSwzRS&#10;tBVdIF+hI6OITmv9DJM2FtNCh25k+eL36IxLd9Lp+IvrEIwjzqcrtrEYR+eoKKaTOwxxjI3yYjqc&#10;xDLZ29fW+fBNgCbRKKlD7hKk7Lj2oU+9pMRmBlaNUok/ZUhb0ulokqcPrhEsrgz2iDv0s0YrdLsu&#10;bXzdYwfVCddz0MvDW75qcIY18+GFOdQDjo0aD894SAXYC84WJTW4X3/zx3ykCaOUtKivkvqfB+YE&#10;Jeq7QQK/FONxFGS6jCefh3hxt5HdbcQc9AOghAt8TZYnM+YHdTGlA/2KT2EZu2KIGY69Sxou5kPo&#10;VY9PiYvlMiWhBC0La7OxPJaOqEaEt90rc/ZMQ0ACn+CiRDZ7x0af2/OxPASQTaIq4tyjeoYf5ZvI&#10;Pj+1+D5u7ynr7Q9h8RsAAP//AwBQSwMEFAAGAAgAAAAhAB7XOwDjAAAACwEAAA8AAABkcnMvZG93&#10;bnJldi54bWxMj8FOwzAMhu9IvENkJG5buo1CW5pOU6UJCcFhYxdubpO1FY1TmmwrPD3mBEfbn35/&#10;f76ebC/OZvSdIwWLeQTCUO10R42Cw9t2loDwAUlj78go+DIe1sX1VY6ZdhfamfM+NIJDyGeooA1h&#10;yKT0dWss+rkbDPHt6EaLgcexkXrEC4fbXi6j6F5a7Ig/tDiYsjX1x/5kFTyX21fcVUubfPfl08tx&#10;M3we3mOlbm+mzSOIYKbwB8OvPqtDwU6VO5H2olcQRw8xowpm6YJLMZGmyQpExZu7VQyyyOX/DsUP&#10;AAAA//8DAFBLAQItABQABgAIAAAAIQC2gziS/gAAAOEBAAATAAAAAAAAAAAAAAAAAAAAAABbQ29u&#10;dGVudF9UeXBlc10ueG1sUEsBAi0AFAAGAAgAAAAhADj9If/WAAAAlAEAAAsAAAAAAAAAAAAAAAAA&#10;LwEAAF9yZWxzLy5yZWxzUEsBAi0AFAAGAAgAAAAhAPCR2FcuAgAAWAQAAA4AAAAAAAAAAAAAAAAA&#10;LgIAAGRycy9lMm9Eb2MueG1sUEsBAi0AFAAGAAgAAAAhAB7XOwDjAAAACwEAAA8AAAAAAAAAAAAA&#10;AAAAiAQAAGRycy9kb3ducmV2LnhtbFBLBQYAAAAABAAEAPMAAACYBQAAAAA=&#10;" filled="f" stroked="f" strokeweight=".5pt">
              <v:textbox>
                <w:txbxContent>
                  <w:p w14:paraId="27CB2E78" w14:textId="77777777" w:rsidR="006A3637" w:rsidRPr="00897277" w:rsidRDefault="006A3637" w:rsidP="00D25540">
                    <w:pPr>
                      <w:pStyle w:val="DJAGnameinheader"/>
                    </w:pPr>
                    <w:r w:rsidRPr="00897277">
                      <w:t>Department of Justice and Attorney-General</w:t>
                    </w:r>
                  </w:p>
                </w:txbxContent>
              </v:textbox>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F3BC" w14:textId="77777777" w:rsidR="00D25540" w:rsidRDefault="00D25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FCA"/>
    <w:multiLevelType w:val="hybridMultilevel"/>
    <w:tmpl w:val="FDB00EA4"/>
    <w:lvl w:ilvl="0" w:tplc="F2CC0B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661253"/>
    <w:multiLevelType w:val="hybridMultilevel"/>
    <w:tmpl w:val="5630D4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290499"/>
    <w:multiLevelType w:val="hybridMultilevel"/>
    <w:tmpl w:val="2FF09A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4E4FE5"/>
    <w:multiLevelType w:val="multilevel"/>
    <w:tmpl w:val="9C029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A87D01"/>
    <w:multiLevelType w:val="hybridMultilevel"/>
    <w:tmpl w:val="DB026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CD10D2"/>
    <w:multiLevelType w:val="hybridMultilevel"/>
    <w:tmpl w:val="FA1E0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995A29"/>
    <w:multiLevelType w:val="hybridMultilevel"/>
    <w:tmpl w:val="3F4CD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C32F28"/>
    <w:multiLevelType w:val="hybridMultilevel"/>
    <w:tmpl w:val="C1043E1C"/>
    <w:lvl w:ilvl="0" w:tplc="483EF9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5C372E"/>
    <w:multiLevelType w:val="hybridMultilevel"/>
    <w:tmpl w:val="456CAD5A"/>
    <w:lvl w:ilvl="0" w:tplc="0A84DD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41D56"/>
    <w:multiLevelType w:val="hybridMultilevel"/>
    <w:tmpl w:val="46885268"/>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24338D2"/>
    <w:multiLevelType w:val="hybridMultilevel"/>
    <w:tmpl w:val="13B4518C"/>
    <w:lvl w:ilvl="0" w:tplc="D8BC4346">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026F99"/>
    <w:multiLevelType w:val="hybridMultilevel"/>
    <w:tmpl w:val="CA5EFA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F00052"/>
    <w:multiLevelType w:val="hybridMultilevel"/>
    <w:tmpl w:val="9F340BB4"/>
    <w:lvl w:ilvl="0" w:tplc="758AB9E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AF55932"/>
    <w:multiLevelType w:val="hybridMultilevel"/>
    <w:tmpl w:val="1B0C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E6398"/>
    <w:multiLevelType w:val="hybridMultilevel"/>
    <w:tmpl w:val="EB2EC7E2"/>
    <w:lvl w:ilvl="0" w:tplc="9E4EBB7E">
      <w:start w:val="1"/>
      <w:numFmt w:val="bullet"/>
      <w:pStyle w:val="normalbefor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1C3EB2"/>
    <w:multiLevelType w:val="hybridMultilevel"/>
    <w:tmpl w:val="D820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49227E"/>
    <w:multiLevelType w:val="hybridMultilevel"/>
    <w:tmpl w:val="F1C48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E4382"/>
    <w:multiLevelType w:val="hybridMultilevel"/>
    <w:tmpl w:val="4F20D5A8"/>
    <w:lvl w:ilvl="0" w:tplc="3258C8EE">
      <w:start w:val="1"/>
      <w:numFmt w:val="decimal"/>
      <w:suff w:val="space"/>
      <w:lvlText w:val="%1."/>
      <w:lvlJc w:val="left"/>
      <w:pPr>
        <w:ind w:left="360" w:hanging="360"/>
      </w:pPr>
      <w:rPr>
        <w:rFonts w:cs="Times New Roman" w:hint="default"/>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BC32A54"/>
    <w:multiLevelType w:val="hybridMultilevel"/>
    <w:tmpl w:val="79B45D00"/>
    <w:lvl w:ilvl="0" w:tplc="3F32D4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A5021"/>
    <w:multiLevelType w:val="hybridMultilevel"/>
    <w:tmpl w:val="6E02A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6"/>
  </w:num>
  <w:num w:numId="4">
    <w:abstractNumId w:val="3"/>
  </w:num>
  <w:num w:numId="5">
    <w:abstractNumId w:val="18"/>
  </w:num>
  <w:num w:numId="6">
    <w:abstractNumId w:val="19"/>
  </w:num>
  <w:num w:numId="7">
    <w:abstractNumId w:val="0"/>
  </w:num>
  <w:num w:numId="8">
    <w:abstractNumId w:val="1"/>
  </w:num>
  <w:num w:numId="9">
    <w:abstractNumId w:val="4"/>
  </w:num>
  <w:num w:numId="10">
    <w:abstractNumId w:val="0"/>
  </w:num>
  <w:num w:numId="11">
    <w:abstractNumId w:val="0"/>
  </w:num>
  <w:num w:numId="12">
    <w:abstractNumId w:val="5"/>
  </w:num>
  <w:num w:numId="13">
    <w:abstractNumId w:val="7"/>
  </w:num>
  <w:num w:numId="14">
    <w:abstractNumId w:val="16"/>
  </w:num>
  <w:num w:numId="15">
    <w:abstractNumId w:val="15"/>
  </w:num>
  <w:num w:numId="16">
    <w:abstractNumId w:val="11"/>
  </w:num>
  <w:num w:numId="17">
    <w:abstractNumId w:val="10"/>
  </w:num>
  <w:num w:numId="18">
    <w:abstractNumId w:val="12"/>
  </w:num>
  <w:num w:numId="19">
    <w:abstractNumId w:val="9"/>
  </w:num>
  <w:num w:numId="20">
    <w:abstractNumId w:val="8"/>
  </w:num>
  <w:num w:numId="21">
    <w:abstractNumId w:val="13"/>
  </w:num>
  <w:num w:numId="22">
    <w:abstractNumId w:val="14"/>
  </w:num>
  <w:num w:numId="23">
    <w:abstractNumId w:val="14"/>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8D"/>
    <w:rsid w:val="000274D6"/>
    <w:rsid w:val="00042D34"/>
    <w:rsid w:val="000643AF"/>
    <w:rsid w:val="000856E3"/>
    <w:rsid w:val="00090F80"/>
    <w:rsid w:val="000B4D85"/>
    <w:rsid w:val="000D40A0"/>
    <w:rsid w:val="000E1422"/>
    <w:rsid w:val="000E1E55"/>
    <w:rsid w:val="00116E26"/>
    <w:rsid w:val="001520B3"/>
    <w:rsid w:val="001611BF"/>
    <w:rsid w:val="00196AEA"/>
    <w:rsid w:val="001A5916"/>
    <w:rsid w:val="001D44EA"/>
    <w:rsid w:val="001E68B1"/>
    <w:rsid w:val="001F18FC"/>
    <w:rsid w:val="0021273B"/>
    <w:rsid w:val="00213FEB"/>
    <w:rsid w:val="00260181"/>
    <w:rsid w:val="00290D5C"/>
    <w:rsid w:val="002B5127"/>
    <w:rsid w:val="002E6FC9"/>
    <w:rsid w:val="003138BE"/>
    <w:rsid w:val="00330434"/>
    <w:rsid w:val="00347622"/>
    <w:rsid w:val="003621AF"/>
    <w:rsid w:val="003764D1"/>
    <w:rsid w:val="003D596D"/>
    <w:rsid w:val="003D7616"/>
    <w:rsid w:val="004060C5"/>
    <w:rsid w:val="004126DC"/>
    <w:rsid w:val="00426C13"/>
    <w:rsid w:val="004508C0"/>
    <w:rsid w:val="00451999"/>
    <w:rsid w:val="004533FE"/>
    <w:rsid w:val="00473632"/>
    <w:rsid w:val="004755D7"/>
    <w:rsid w:val="00496D5F"/>
    <w:rsid w:val="005056CB"/>
    <w:rsid w:val="005107FD"/>
    <w:rsid w:val="005548BE"/>
    <w:rsid w:val="00563B95"/>
    <w:rsid w:val="00577E5A"/>
    <w:rsid w:val="005833BE"/>
    <w:rsid w:val="00584D79"/>
    <w:rsid w:val="005C5D5F"/>
    <w:rsid w:val="005C6530"/>
    <w:rsid w:val="005D1C39"/>
    <w:rsid w:val="006416ED"/>
    <w:rsid w:val="006461BE"/>
    <w:rsid w:val="00684A5B"/>
    <w:rsid w:val="00687732"/>
    <w:rsid w:val="00690EC2"/>
    <w:rsid w:val="006A0D8D"/>
    <w:rsid w:val="006A3637"/>
    <w:rsid w:val="006C0C66"/>
    <w:rsid w:val="006C58C9"/>
    <w:rsid w:val="006F3414"/>
    <w:rsid w:val="0073641A"/>
    <w:rsid w:val="00760C36"/>
    <w:rsid w:val="007645CD"/>
    <w:rsid w:val="00771775"/>
    <w:rsid w:val="00780BF9"/>
    <w:rsid w:val="007D1D53"/>
    <w:rsid w:val="007D22D0"/>
    <w:rsid w:val="007D2EC5"/>
    <w:rsid w:val="007D67B3"/>
    <w:rsid w:val="0080633E"/>
    <w:rsid w:val="00806EDC"/>
    <w:rsid w:val="00814F05"/>
    <w:rsid w:val="00844B26"/>
    <w:rsid w:val="008B4E2B"/>
    <w:rsid w:val="008C7872"/>
    <w:rsid w:val="008D22E9"/>
    <w:rsid w:val="00950791"/>
    <w:rsid w:val="009651AC"/>
    <w:rsid w:val="00A34C9F"/>
    <w:rsid w:val="00A50170"/>
    <w:rsid w:val="00A75AAC"/>
    <w:rsid w:val="00AA4FA4"/>
    <w:rsid w:val="00AB3668"/>
    <w:rsid w:val="00AF2C39"/>
    <w:rsid w:val="00B17B17"/>
    <w:rsid w:val="00B71EF0"/>
    <w:rsid w:val="00B75378"/>
    <w:rsid w:val="00B83DC4"/>
    <w:rsid w:val="00B867A9"/>
    <w:rsid w:val="00C14125"/>
    <w:rsid w:val="00C1796D"/>
    <w:rsid w:val="00C50373"/>
    <w:rsid w:val="00C70C54"/>
    <w:rsid w:val="00CB1FE7"/>
    <w:rsid w:val="00CB6F96"/>
    <w:rsid w:val="00D12EA6"/>
    <w:rsid w:val="00D25540"/>
    <w:rsid w:val="00D25640"/>
    <w:rsid w:val="00D425DA"/>
    <w:rsid w:val="00D63DFB"/>
    <w:rsid w:val="00D641D3"/>
    <w:rsid w:val="00D87DC8"/>
    <w:rsid w:val="00DB1F92"/>
    <w:rsid w:val="00DD4D3B"/>
    <w:rsid w:val="00E11BAA"/>
    <w:rsid w:val="00E31141"/>
    <w:rsid w:val="00E66AF8"/>
    <w:rsid w:val="00F1219F"/>
    <w:rsid w:val="00F33586"/>
    <w:rsid w:val="00F6327C"/>
    <w:rsid w:val="00F95E0E"/>
    <w:rsid w:val="00FA5770"/>
    <w:rsid w:val="00FA72E5"/>
    <w:rsid w:val="00FC1321"/>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E6D42"/>
  <w15:chartTrackingRefBased/>
  <w15:docId w15:val="{F7E7AF9D-1965-4931-AC21-2E571EA3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autoRedefine/>
    <w:uiPriority w:val="9"/>
    <w:qFormat/>
    <w:rsid w:val="006A3637"/>
    <w:pPr>
      <w:keepNext/>
      <w:keepLines/>
      <w:spacing w:before="360" w:after="120" w:line="340" w:lineRule="exact"/>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6A3637"/>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basedOn w:val="Normal"/>
    <w:next w:val="Normal"/>
    <w:link w:val="Heading3Char"/>
    <w:uiPriority w:val="9"/>
    <w:semiHidden/>
    <w:unhideWhenUsed/>
    <w:qFormat/>
    <w:rsid w:val="00B753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0D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D8D"/>
    <w:rPr>
      <w:sz w:val="20"/>
      <w:szCs w:val="20"/>
    </w:rPr>
  </w:style>
  <w:style w:type="character" w:styleId="FootnoteReference">
    <w:name w:val="footnote reference"/>
    <w:basedOn w:val="DefaultParagraphFont"/>
    <w:uiPriority w:val="99"/>
    <w:semiHidden/>
    <w:unhideWhenUsed/>
    <w:rsid w:val="006A0D8D"/>
    <w:rPr>
      <w:vertAlign w:val="superscript"/>
    </w:rPr>
  </w:style>
  <w:style w:type="character" w:customStyle="1" w:styleId="Heading1Char">
    <w:name w:val="Heading 1 Char"/>
    <w:basedOn w:val="DefaultParagraphFont"/>
    <w:link w:val="Heading1"/>
    <w:uiPriority w:val="9"/>
    <w:rsid w:val="006A3637"/>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6A3637"/>
    <w:rPr>
      <w:rFonts w:ascii="Arial" w:eastAsiaTheme="majorEastAsia" w:hAnsi="Arial" w:cstheme="majorBidi"/>
      <w:color w:val="AF4C64"/>
      <w:sz w:val="26"/>
      <w:szCs w:val="26"/>
      <w:lang w:val="en-US"/>
    </w:rPr>
  </w:style>
  <w:style w:type="paragraph" w:styleId="Header">
    <w:name w:val="header"/>
    <w:basedOn w:val="Normal"/>
    <w:link w:val="HeaderChar"/>
    <w:uiPriority w:val="99"/>
    <w:unhideWhenUsed/>
    <w:rsid w:val="006A3637"/>
    <w:pPr>
      <w:tabs>
        <w:tab w:val="center" w:pos="4513"/>
        <w:tab w:val="right" w:pos="9026"/>
      </w:tabs>
      <w:spacing w:after="120" w:line="260" w:lineRule="exact"/>
    </w:pPr>
    <w:rPr>
      <w:rFonts w:ascii="Arial" w:hAnsi="Arial"/>
      <w:sz w:val="21"/>
      <w:szCs w:val="24"/>
      <w:lang w:val="en-US"/>
    </w:rPr>
  </w:style>
  <w:style w:type="character" w:customStyle="1" w:styleId="HeaderChar">
    <w:name w:val="Header Char"/>
    <w:basedOn w:val="DefaultParagraphFont"/>
    <w:link w:val="Header"/>
    <w:uiPriority w:val="99"/>
    <w:rsid w:val="006A3637"/>
    <w:rPr>
      <w:rFonts w:ascii="Arial" w:hAnsi="Arial"/>
      <w:sz w:val="21"/>
      <w:szCs w:val="24"/>
      <w:lang w:val="en-US"/>
    </w:rPr>
  </w:style>
  <w:style w:type="paragraph" w:styleId="Footer">
    <w:name w:val="footer"/>
    <w:basedOn w:val="Normal"/>
    <w:link w:val="FooterChar"/>
    <w:uiPriority w:val="99"/>
    <w:unhideWhenUsed/>
    <w:rsid w:val="006A3637"/>
    <w:pPr>
      <w:tabs>
        <w:tab w:val="center" w:pos="4513"/>
        <w:tab w:val="right" w:pos="9026"/>
      </w:tabs>
      <w:spacing w:after="120" w:line="260" w:lineRule="exact"/>
    </w:pPr>
    <w:rPr>
      <w:rFonts w:ascii="Arial" w:hAnsi="Arial"/>
      <w:sz w:val="21"/>
      <w:szCs w:val="24"/>
      <w:lang w:val="en-US"/>
    </w:rPr>
  </w:style>
  <w:style w:type="character" w:customStyle="1" w:styleId="FooterChar">
    <w:name w:val="Footer Char"/>
    <w:basedOn w:val="DefaultParagraphFont"/>
    <w:link w:val="Footer"/>
    <w:uiPriority w:val="99"/>
    <w:rsid w:val="006A3637"/>
    <w:rPr>
      <w:rFonts w:ascii="Arial" w:hAnsi="Arial"/>
      <w:sz w:val="21"/>
      <w:szCs w:val="24"/>
      <w:lang w:val="en-US"/>
    </w:rPr>
  </w:style>
  <w:style w:type="paragraph" w:styleId="Title">
    <w:name w:val="Title"/>
    <w:next w:val="Normal"/>
    <w:link w:val="TitleChar"/>
    <w:autoRedefine/>
    <w:uiPriority w:val="10"/>
    <w:qFormat/>
    <w:rsid w:val="006F3414"/>
    <w:pPr>
      <w:spacing w:after="360" w:line="600" w:lineRule="exact"/>
      <w:ind w:left="-142" w:right="-65"/>
    </w:pPr>
    <w:rPr>
      <w:rFonts w:ascii="Arial" w:eastAsiaTheme="majorEastAsia" w:hAnsi="Arial" w:cstheme="majorBidi"/>
      <w:b/>
      <w:color w:val="AF4C64"/>
      <w:spacing w:val="-10"/>
      <w:kern w:val="28"/>
      <w:sz w:val="52"/>
      <w:szCs w:val="52"/>
      <w:lang w:val="en-US"/>
    </w:rPr>
  </w:style>
  <w:style w:type="character" w:customStyle="1" w:styleId="TitleChar">
    <w:name w:val="Title Char"/>
    <w:basedOn w:val="DefaultParagraphFont"/>
    <w:link w:val="Title"/>
    <w:uiPriority w:val="10"/>
    <w:rsid w:val="006F3414"/>
    <w:rPr>
      <w:rFonts w:ascii="Arial" w:eastAsiaTheme="majorEastAsia" w:hAnsi="Arial" w:cstheme="majorBidi"/>
      <w:b/>
      <w:color w:val="AF4C64"/>
      <w:spacing w:val="-10"/>
      <w:kern w:val="28"/>
      <w:sz w:val="52"/>
      <w:szCs w:val="52"/>
      <w:lang w:val="en-US"/>
    </w:rPr>
  </w:style>
  <w:style w:type="paragraph" w:customStyle="1" w:styleId="normalbeforebullet">
    <w:name w:val="normal before bullet"/>
    <w:basedOn w:val="Normal"/>
    <w:autoRedefine/>
    <w:qFormat/>
    <w:rsid w:val="00290D5C"/>
    <w:pPr>
      <w:numPr>
        <w:numId w:val="22"/>
      </w:numPr>
      <w:spacing w:after="0" w:line="260" w:lineRule="exact"/>
      <w:jc w:val="both"/>
    </w:pPr>
    <w:rPr>
      <w:rFonts w:ascii="Arial" w:hAnsi="Arial"/>
      <w:sz w:val="21"/>
      <w:szCs w:val="24"/>
      <w:lang w:val="en-US"/>
    </w:rPr>
  </w:style>
  <w:style w:type="paragraph" w:customStyle="1" w:styleId="DJAGnameinheader">
    <w:name w:val="DJAG name in header"/>
    <w:qFormat/>
    <w:rsid w:val="006A3637"/>
    <w:pPr>
      <w:jc w:val="right"/>
    </w:pPr>
    <w:rPr>
      <w:color w:val="FFFFFF" w:themeColor="background1"/>
      <w:sz w:val="20"/>
      <w:szCs w:val="20"/>
      <w:lang w:val="en-US"/>
    </w:rPr>
  </w:style>
  <w:style w:type="paragraph" w:customStyle="1" w:styleId="Documenttypeinheader">
    <w:name w:val="Document type in header"/>
    <w:qFormat/>
    <w:rsid w:val="006A3637"/>
    <w:rPr>
      <w:rFonts w:ascii="Arial" w:hAnsi="Arial" w:cs="Arial"/>
      <w:color w:val="FFFFFF" w:themeColor="background1"/>
      <w:sz w:val="36"/>
      <w:szCs w:val="36"/>
      <w:lang w:val="en-US"/>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Parágrafo da Lista1"/>
    <w:basedOn w:val="Normal"/>
    <w:link w:val="ListParagraphChar"/>
    <w:uiPriority w:val="34"/>
    <w:qFormat/>
    <w:rsid w:val="00D63DFB"/>
    <w:pPr>
      <w:spacing w:after="0" w:line="240" w:lineRule="auto"/>
      <w:ind w:left="720"/>
      <w:contextualSpacing/>
    </w:pPr>
    <w:rPr>
      <w:rFonts w:ascii="Times New Roman" w:eastAsia="Times New Roman" w:hAnsi="Times New Roman" w:cs="Times New Roman"/>
      <w:color w:val="000000"/>
      <w:sz w:val="24"/>
      <w:szCs w:val="20"/>
      <w:lang w:eastAsia="en-AU"/>
    </w:r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D63DFB"/>
    <w:rPr>
      <w:rFonts w:ascii="Times New Roman" w:eastAsia="Times New Roman" w:hAnsi="Times New Roman" w:cs="Times New Roman"/>
      <w:color w:val="000000"/>
      <w:sz w:val="24"/>
      <w:szCs w:val="20"/>
      <w:lang w:eastAsia="en-AU"/>
    </w:rPr>
  </w:style>
  <w:style w:type="paragraph" w:styleId="EndnoteText">
    <w:name w:val="endnote text"/>
    <w:basedOn w:val="Normal"/>
    <w:link w:val="EndnoteTextChar"/>
    <w:uiPriority w:val="99"/>
    <w:semiHidden/>
    <w:unhideWhenUsed/>
    <w:rsid w:val="00690E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EC2"/>
    <w:rPr>
      <w:sz w:val="20"/>
      <w:szCs w:val="20"/>
    </w:rPr>
  </w:style>
  <w:style w:type="character" w:styleId="EndnoteReference">
    <w:name w:val="endnote reference"/>
    <w:basedOn w:val="DefaultParagraphFont"/>
    <w:uiPriority w:val="99"/>
    <w:semiHidden/>
    <w:unhideWhenUsed/>
    <w:rsid w:val="00690EC2"/>
    <w:rPr>
      <w:vertAlign w:val="superscript"/>
    </w:rPr>
  </w:style>
  <w:style w:type="paragraph" w:styleId="BalloonText">
    <w:name w:val="Balloon Text"/>
    <w:basedOn w:val="Normal"/>
    <w:link w:val="BalloonTextChar"/>
    <w:uiPriority w:val="99"/>
    <w:semiHidden/>
    <w:unhideWhenUsed/>
    <w:rsid w:val="00B71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EF0"/>
    <w:rPr>
      <w:rFonts w:ascii="Segoe UI" w:hAnsi="Segoe UI" w:cs="Segoe UI"/>
      <w:sz w:val="18"/>
      <w:szCs w:val="18"/>
    </w:rPr>
  </w:style>
  <w:style w:type="paragraph" w:customStyle="1" w:styleId="Contactdetailsname">
    <w:name w:val="Contact details (name)"/>
    <w:basedOn w:val="Heading3"/>
    <w:qFormat/>
    <w:rsid w:val="00B75378"/>
    <w:pPr>
      <w:spacing w:before="400" w:after="120" w:line="280" w:lineRule="exact"/>
    </w:pPr>
    <w:rPr>
      <w:rFonts w:ascii="Calibri" w:hAnsi="Calibri"/>
      <w:b/>
      <w:color w:val="AF4C64"/>
      <w:sz w:val="22"/>
      <w:lang w:val="en-US"/>
    </w:rPr>
  </w:style>
  <w:style w:type="character" w:customStyle="1" w:styleId="Heading3Char">
    <w:name w:val="Heading 3 Char"/>
    <w:basedOn w:val="DefaultParagraphFont"/>
    <w:link w:val="Heading3"/>
    <w:uiPriority w:val="9"/>
    <w:semiHidden/>
    <w:rsid w:val="00B7537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26C13"/>
    <w:rPr>
      <w:sz w:val="16"/>
      <w:szCs w:val="16"/>
    </w:rPr>
  </w:style>
  <w:style w:type="paragraph" w:styleId="CommentText">
    <w:name w:val="annotation text"/>
    <w:basedOn w:val="Normal"/>
    <w:link w:val="CommentTextChar"/>
    <w:uiPriority w:val="99"/>
    <w:semiHidden/>
    <w:unhideWhenUsed/>
    <w:rsid w:val="00426C13"/>
    <w:pPr>
      <w:spacing w:line="240" w:lineRule="auto"/>
    </w:pPr>
    <w:rPr>
      <w:sz w:val="20"/>
      <w:szCs w:val="20"/>
    </w:rPr>
  </w:style>
  <w:style w:type="character" w:customStyle="1" w:styleId="CommentTextChar">
    <w:name w:val="Comment Text Char"/>
    <w:basedOn w:val="DefaultParagraphFont"/>
    <w:link w:val="CommentText"/>
    <w:uiPriority w:val="99"/>
    <w:semiHidden/>
    <w:rsid w:val="00426C13"/>
    <w:rPr>
      <w:sz w:val="20"/>
      <w:szCs w:val="20"/>
    </w:rPr>
  </w:style>
  <w:style w:type="paragraph" w:styleId="CommentSubject">
    <w:name w:val="annotation subject"/>
    <w:basedOn w:val="CommentText"/>
    <w:next w:val="CommentText"/>
    <w:link w:val="CommentSubjectChar"/>
    <w:uiPriority w:val="99"/>
    <w:semiHidden/>
    <w:unhideWhenUsed/>
    <w:rsid w:val="00426C13"/>
    <w:rPr>
      <w:b/>
      <w:bCs/>
    </w:rPr>
  </w:style>
  <w:style w:type="character" w:customStyle="1" w:styleId="CommentSubjectChar">
    <w:name w:val="Comment Subject Char"/>
    <w:basedOn w:val="CommentTextChar"/>
    <w:link w:val="CommentSubject"/>
    <w:uiPriority w:val="99"/>
    <w:semiHidden/>
    <w:rsid w:val="00426C13"/>
    <w:rPr>
      <w:b/>
      <w:bCs/>
      <w:sz w:val="20"/>
      <w:szCs w:val="20"/>
    </w:rPr>
  </w:style>
  <w:style w:type="paragraph" w:styleId="Revision">
    <w:name w:val="Revision"/>
    <w:hidden/>
    <w:uiPriority w:val="99"/>
    <w:semiHidden/>
    <w:rsid w:val="00AA4FA4"/>
    <w:pPr>
      <w:spacing w:after="0" w:line="240" w:lineRule="auto"/>
    </w:pPr>
  </w:style>
  <w:style w:type="character" w:styleId="Hyperlink">
    <w:name w:val="Hyperlink"/>
    <w:basedOn w:val="DefaultParagraphFont"/>
    <w:uiPriority w:val="99"/>
    <w:unhideWhenUsed/>
    <w:rsid w:val="00161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woodcj\Desktop\www.GetInvolved.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ldsexualoffencesreform@justice.qld.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abuseroyalcommission.gov.au/media-releases/report-criminal-justice-release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78F3-ED8F-4B7C-A418-E8108AD9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Samios</dc:creator>
  <cp:keywords/>
  <dc:description/>
  <cp:lastModifiedBy>Carly Wood</cp:lastModifiedBy>
  <cp:revision>3</cp:revision>
  <dcterms:created xsi:type="dcterms:W3CDTF">2019-08-26T00:20:00Z</dcterms:created>
  <dcterms:modified xsi:type="dcterms:W3CDTF">2019-08-26T00:20:00Z</dcterms:modified>
</cp:coreProperties>
</file>